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F580E0">
      <w:pPr>
        <w:keepNext w:val="0"/>
        <w:keepLines w:val="0"/>
        <w:widowControl w:val="0"/>
        <w:suppressLineNumbers w:val="0"/>
        <w:autoSpaceDE w:val="0"/>
        <w:autoSpaceDN/>
        <w:spacing w:before="0" w:beforeAutospacing="0" w:after="0" w:afterAutospacing="0" w:line="560" w:lineRule="exact"/>
        <w:ind w:left="220" w:leftChars="105" w:right="0"/>
        <w:jc w:val="center"/>
        <w:rPr>
          <w:rFonts w:hint="eastAsia" w:ascii="方正小标宋_GBK" w:hAnsi="宋体" w:eastAsia="方正小标宋_GBK" w:cs="宋体"/>
          <w:bCs/>
          <w:color w:val="auto"/>
          <w:kern w:val="2"/>
          <w:sz w:val="44"/>
          <w:szCs w:val="44"/>
          <w:highlight w:val="none"/>
        </w:rPr>
      </w:pPr>
      <w:bookmarkStart w:id="0" w:name="_GoBack"/>
      <w:bookmarkEnd w:id="0"/>
      <w:r>
        <w:rPr>
          <w:rFonts w:hint="eastAsia" w:ascii="方正小标宋_GBK" w:hAnsi="方正小标宋_GBK" w:eastAsia="方正小标宋_GBK" w:cs="方正小标宋_GBK"/>
          <w:bCs/>
          <w:color w:val="auto"/>
          <w:kern w:val="2"/>
          <w:sz w:val="44"/>
          <w:szCs w:val="44"/>
          <w:highlight w:val="none"/>
          <w:lang w:val="en-US" w:eastAsia="zh-CN" w:bidi="ar"/>
        </w:rPr>
        <w:t>中国职工保险互助会</w:t>
      </w:r>
    </w:p>
    <w:p w14:paraId="12B1CB0C">
      <w:pPr>
        <w:keepNext w:val="0"/>
        <w:keepLines w:val="0"/>
        <w:widowControl w:val="0"/>
        <w:suppressLineNumbers w:val="0"/>
        <w:autoSpaceDE w:val="0"/>
        <w:autoSpaceDN/>
        <w:spacing w:before="0" w:beforeAutospacing="0" w:after="0" w:afterAutospacing="0" w:line="560" w:lineRule="exact"/>
        <w:ind w:left="220" w:leftChars="105" w:right="0"/>
        <w:jc w:val="center"/>
        <w:rPr>
          <w:rFonts w:hint="eastAsia" w:ascii="方正小标宋_GBK" w:hAnsi="宋体" w:eastAsia="方正小标宋_GBK" w:cs="宋体"/>
          <w:bCs/>
          <w:color w:val="auto"/>
          <w:kern w:val="2"/>
          <w:sz w:val="44"/>
          <w:szCs w:val="44"/>
          <w:highlight w:val="none"/>
        </w:rPr>
      </w:pPr>
      <w:r>
        <w:rPr>
          <w:rFonts w:hint="eastAsia" w:ascii="方正小标宋_GBK" w:hAnsi="方正小标宋_GBK" w:eastAsia="方正小标宋_GBK" w:cs="方正小标宋_GBK"/>
          <w:bCs/>
          <w:color w:val="auto"/>
          <w:kern w:val="2"/>
          <w:sz w:val="44"/>
          <w:szCs w:val="44"/>
          <w:highlight w:val="none"/>
          <w:lang w:val="en-US" w:eastAsia="zh-CN" w:bidi="ar"/>
        </w:rPr>
        <w:t>在职职工短期意外伤害互助保障活动</w:t>
      </w:r>
    </w:p>
    <w:p w14:paraId="4475CDD4">
      <w:pPr>
        <w:keepNext w:val="0"/>
        <w:keepLines w:val="0"/>
        <w:widowControl w:val="0"/>
        <w:suppressLineNumbers w:val="0"/>
        <w:autoSpaceDE w:val="0"/>
        <w:autoSpaceDN/>
        <w:spacing w:before="0" w:beforeAutospacing="0" w:after="0" w:afterAutospacing="0" w:line="560" w:lineRule="exact"/>
        <w:ind w:left="220" w:leftChars="105" w:right="0"/>
        <w:jc w:val="center"/>
        <w:rPr>
          <w:rFonts w:hint="eastAsia" w:ascii="方正小标宋_GBK" w:hAnsi="方正小标宋_GBK" w:eastAsia="方正小标宋_GBK" w:cs="方正小标宋_GBK"/>
          <w:bCs/>
          <w:color w:val="auto"/>
          <w:kern w:val="2"/>
          <w:sz w:val="44"/>
          <w:szCs w:val="44"/>
          <w:highlight w:val="none"/>
          <w:lang w:val="en-US" w:eastAsia="zh-CN" w:bidi="ar"/>
        </w:rPr>
      </w:pPr>
      <w:r>
        <w:rPr>
          <w:rFonts w:hint="eastAsia" w:ascii="方正小标宋_GBK" w:hAnsi="方正小标宋_GBK" w:eastAsia="方正小标宋_GBK" w:cs="方正小标宋_GBK"/>
          <w:bCs/>
          <w:color w:val="auto"/>
          <w:kern w:val="2"/>
          <w:sz w:val="44"/>
          <w:szCs w:val="44"/>
          <w:highlight w:val="none"/>
          <w:lang w:val="en-US" w:eastAsia="zh-CN" w:bidi="ar"/>
        </w:rPr>
        <w:t>实施细则</w:t>
      </w:r>
    </w:p>
    <w:p w14:paraId="2C45C149">
      <w:pPr>
        <w:keepNext w:val="0"/>
        <w:keepLines w:val="0"/>
        <w:widowControl w:val="0"/>
        <w:suppressLineNumbers w:val="0"/>
        <w:autoSpaceDE w:val="0"/>
        <w:autoSpaceDN/>
        <w:spacing w:before="0" w:beforeAutospacing="0" w:after="0" w:afterAutospacing="0" w:line="560" w:lineRule="exact"/>
        <w:ind w:left="220" w:leftChars="105" w:right="0"/>
        <w:jc w:val="center"/>
        <w:rPr>
          <w:rFonts w:hint="eastAsia" w:ascii="仿宋" w:hAnsi="仿宋" w:eastAsia="仿宋" w:cs="Times New Roman"/>
          <w:color w:val="auto"/>
          <w:kern w:val="2"/>
          <w:sz w:val="32"/>
          <w:szCs w:val="32"/>
          <w:highlight w:val="none"/>
          <w:lang w:val="en-US" w:eastAsia="zh-CN" w:bidi="ar"/>
        </w:rPr>
      </w:pPr>
      <w:r>
        <w:rPr>
          <w:rFonts w:hint="eastAsia" w:ascii="楷体_GB2312" w:hAnsi="楷体_GB2312" w:eastAsia="楷体_GB2312" w:cs="楷体_GB2312"/>
          <w:color w:val="auto"/>
          <w:kern w:val="2"/>
          <w:sz w:val="32"/>
          <w:szCs w:val="32"/>
          <w:highlight w:val="none"/>
          <w:lang w:val="en-US" w:eastAsia="zh-CN" w:bidi="ar"/>
        </w:rPr>
        <w:t>（2024版）</w:t>
      </w:r>
    </w:p>
    <w:p w14:paraId="479E9A9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720" w:firstLineChars="200"/>
        <w:jc w:val="center"/>
        <w:textAlignment w:val="auto"/>
        <w:rPr>
          <w:rFonts w:hint="eastAsia" w:ascii="仿宋" w:hAnsi="仿宋" w:eastAsia="仿宋" w:cs="Times New Roman"/>
          <w:color w:val="auto"/>
          <w:kern w:val="2"/>
          <w:sz w:val="36"/>
          <w:szCs w:val="36"/>
          <w:highlight w:val="none"/>
          <w:lang w:val="en-US" w:eastAsia="zh-CN" w:bidi="ar"/>
        </w:rPr>
      </w:pPr>
    </w:p>
    <w:p w14:paraId="7BD2FE7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_GB2312"/>
          <w:color w:val="auto"/>
          <w:kern w:val="2"/>
          <w:sz w:val="32"/>
          <w:szCs w:val="32"/>
          <w:highlight w:val="none"/>
          <w:lang w:val="en-US" w:eastAsia="zh-CN" w:bidi="ar"/>
        </w:rPr>
      </w:pPr>
      <w:r>
        <w:rPr>
          <w:rFonts w:hint="eastAsia" w:ascii="仿宋_GB2312" w:hAnsi="仿宋" w:eastAsia="仿宋_GB2312" w:cs="仿宋_GB2312"/>
          <w:color w:val="auto"/>
          <w:kern w:val="2"/>
          <w:sz w:val="32"/>
          <w:szCs w:val="32"/>
          <w:highlight w:val="none"/>
          <w:lang w:val="en-US" w:eastAsia="zh-CN" w:bidi="ar"/>
        </w:rPr>
        <w:t>根据《中国职工保险互助会职工互助保障管理办法》的规定，制定《中国职工保险互助会在职职工短期意外伤害互助保障活动实施细则》。</w:t>
      </w:r>
    </w:p>
    <w:p w14:paraId="269CCCE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_GB2312"/>
          <w:color w:val="auto"/>
          <w:kern w:val="2"/>
          <w:sz w:val="32"/>
          <w:szCs w:val="32"/>
          <w:highlight w:val="none"/>
          <w:lang w:val="en-US" w:eastAsia="zh-CN" w:bidi="ar"/>
        </w:rPr>
      </w:pPr>
      <w:r>
        <w:rPr>
          <w:rFonts w:hint="eastAsia" w:ascii="黑体" w:hAnsi="宋体" w:eastAsia="黑体" w:cs="黑体"/>
          <w:color w:val="auto"/>
          <w:kern w:val="2"/>
          <w:sz w:val="32"/>
          <w:szCs w:val="32"/>
          <w:highlight w:val="none"/>
          <w:lang w:val="en-US" w:eastAsia="zh-CN" w:bidi="ar"/>
        </w:rPr>
        <w:t>第一条 活动的基本内容</w:t>
      </w:r>
      <w:r>
        <w:rPr>
          <w:rFonts w:hint="eastAsia" w:ascii="仿宋" w:hAnsi="仿宋" w:eastAsia="仿宋" w:cs="Times New Roman"/>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本活动仅适用于保障在职职工参加体育健身运动或赛事、职业技能竞赛、大型活动等团体性活动期间及往返途中发生的意外伤害事故。</w:t>
      </w:r>
    </w:p>
    <w:p w14:paraId="3394C48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_GB2312"/>
          <w:color w:val="auto"/>
          <w:kern w:val="2"/>
          <w:sz w:val="32"/>
          <w:szCs w:val="32"/>
          <w:highlight w:val="none"/>
          <w:lang w:val="en-US" w:eastAsia="zh-CN" w:bidi="ar"/>
        </w:rPr>
        <w:t>会员参加在职职工短期意外伤害互助保障活动后，在互助保障有效期内因意外事故导致身故、残疾，因意外事故治疗产生医疗费用，或发生急性疾病导致猝死时，可按照本活动有关规定领取互助金。</w:t>
      </w:r>
      <w:r>
        <w:rPr>
          <w:rFonts w:hint="eastAsia" w:ascii="仿宋" w:hAnsi="仿宋" w:eastAsia="仿宋" w:cs="Times New Roman"/>
          <w:color w:val="auto"/>
          <w:kern w:val="2"/>
          <w:sz w:val="32"/>
          <w:szCs w:val="32"/>
          <w:highlight w:val="none"/>
          <w:lang w:val="en-US" w:eastAsia="zh-CN" w:bidi="ar"/>
        </w:rPr>
        <w:br w:type="textWrapping"/>
      </w:r>
      <w:r>
        <w:rPr>
          <w:rFonts w:hint="eastAsia" w:ascii="黑体" w:hAnsi="宋体" w:eastAsia="黑体" w:cs="黑体"/>
          <w:color w:val="auto"/>
          <w:kern w:val="2"/>
          <w:sz w:val="32"/>
          <w:szCs w:val="32"/>
          <w:highlight w:val="none"/>
          <w:lang w:val="en-US" w:eastAsia="zh-CN" w:bidi="ar"/>
        </w:rPr>
        <w:t xml:space="preserve">    第二条 参加本活动的条件</w:t>
      </w:r>
      <w:r>
        <w:rPr>
          <w:rFonts w:hint="eastAsia" w:ascii="黑体" w:hAnsi="宋体" w:eastAsia="黑体" w:cs="Times New Roman"/>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凡身体健康，能够正常参加所在单位工作，年龄在</w:t>
      </w:r>
      <w:r>
        <w:rPr>
          <w:rFonts w:hint="eastAsia" w:ascii="仿宋_GB2312" w:hAnsi="仿宋" w:eastAsia="仿宋_GB2312" w:cs="仿宋"/>
          <w:color w:val="auto"/>
          <w:kern w:val="2"/>
          <w:sz w:val="32"/>
          <w:szCs w:val="32"/>
          <w:highlight w:val="none"/>
          <w:lang w:val="en-US" w:eastAsia="zh-CN" w:bidi="ar"/>
        </w:rPr>
        <w:t>16</w:t>
      </w:r>
      <w:r>
        <w:rPr>
          <w:rFonts w:hint="eastAsia" w:ascii="仿宋_GB2312" w:hAnsi="仿宋" w:eastAsia="仿宋_GB2312" w:cs="仿宋_GB2312"/>
          <w:color w:val="auto"/>
          <w:kern w:val="2"/>
          <w:sz w:val="32"/>
          <w:szCs w:val="32"/>
          <w:highlight w:val="none"/>
          <w:lang w:val="en-US" w:eastAsia="zh-CN" w:bidi="ar"/>
        </w:rPr>
        <w:t>至</w:t>
      </w:r>
      <w:r>
        <w:rPr>
          <w:rFonts w:hint="eastAsia" w:ascii="仿宋_GB2312" w:hAnsi="仿宋" w:eastAsia="仿宋_GB2312" w:cs="仿宋"/>
          <w:color w:val="auto"/>
          <w:kern w:val="2"/>
          <w:sz w:val="32"/>
          <w:szCs w:val="32"/>
          <w:highlight w:val="none"/>
          <w:lang w:val="en-US" w:eastAsia="zh-CN" w:bidi="ar"/>
        </w:rPr>
        <w:t>60</w:t>
      </w:r>
      <w:r>
        <w:rPr>
          <w:rFonts w:hint="eastAsia" w:ascii="仿宋_GB2312" w:hAnsi="仿宋" w:eastAsia="仿宋_GB2312" w:cs="仿宋_GB2312"/>
          <w:color w:val="auto"/>
          <w:kern w:val="2"/>
          <w:sz w:val="32"/>
          <w:szCs w:val="32"/>
          <w:highlight w:val="none"/>
          <w:lang w:val="en-US" w:eastAsia="zh-CN" w:bidi="ar"/>
        </w:rPr>
        <w:t>周岁的在职职工（含正式、合同制、聘用期超过一年的临时职工）</w:t>
      </w:r>
      <w:r>
        <w:rPr>
          <w:rFonts w:hint="eastAsia" w:ascii="仿宋_GB2312" w:hAnsi="仿宋" w:eastAsia="仿宋_GB2312"/>
          <w:color w:val="auto"/>
          <w:sz w:val="32"/>
          <w:szCs w:val="32"/>
          <w:highlight w:val="none"/>
          <w:lang w:eastAsia="zh-CN"/>
        </w:rPr>
        <w:t>（按国家政策延迟退休的，</w:t>
      </w:r>
      <w:r>
        <w:rPr>
          <w:rFonts w:hint="eastAsia" w:ascii="仿宋_GB2312" w:hAnsi="仿宋" w:eastAsia="仿宋_GB2312"/>
          <w:color w:val="auto"/>
          <w:sz w:val="32"/>
          <w:szCs w:val="32"/>
          <w:highlight w:val="none"/>
          <w:lang w:val="en-US" w:eastAsia="zh-CN"/>
        </w:rPr>
        <w:t>以</w:t>
      </w:r>
      <w:r>
        <w:rPr>
          <w:rFonts w:hint="eastAsia" w:ascii="仿宋_GB2312" w:hAnsi="仿宋" w:eastAsia="仿宋_GB2312"/>
          <w:color w:val="auto"/>
          <w:sz w:val="32"/>
          <w:szCs w:val="32"/>
          <w:highlight w:val="none"/>
          <w:lang w:eastAsia="zh-CN"/>
        </w:rPr>
        <w:t>实际</w:t>
      </w:r>
      <w:r>
        <w:rPr>
          <w:rFonts w:hint="eastAsia" w:ascii="仿宋_GB2312" w:hAnsi="仿宋" w:eastAsia="仿宋_GB2312"/>
          <w:color w:val="auto"/>
          <w:sz w:val="32"/>
          <w:szCs w:val="32"/>
          <w:highlight w:val="none"/>
          <w:lang w:val="en-US" w:eastAsia="zh-CN"/>
        </w:rPr>
        <w:t>退休</w:t>
      </w:r>
      <w:r>
        <w:rPr>
          <w:rFonts w:hint="eastAsia" w:ascii="仿宋_GB2312" w:hAnsi="仿宋" w:eastAsia="仿宋_GB2312"/>
          <w:color w:val="auto"/>
          <w:sz w:val="32"/>
          <w:szCs w:val="32"/>
          <w:highlight w:val="none"/>
          <w:lang w:eastAsia="zh-CN"/>
        </w:rPr>
        <w:t>年龄</w:t>
      </w:r>
      <w:r>
        <w:rPr>
          <w:rFonts w:hint="eastAsia" w:ascii="仿宋_GB2312" w:hAnsi="仿宋" w:eastAsia="仿宋_GB2312"/>
          <w:color w:val="auto"/>
          <w:sz w:val="32"/>
          <w:szCs w:val="32"/>
          <w:highlight w:val="none"/>
          <w:lang w:val="en-US" w:eastAsia="zh-CN"/>
        </w:rPr>
        <w:t>为准</w:t>
      </w:r>
      <w:r>
        <w:rPr>
          <w:rFonts w:hint="eastAsia" w:ascii="仿宋_GB2312" w:hAnsi="仿宋" w:eastAsia="仿宋_GB2312"/>
          <w:color w:val="auto"/>
          <w:sz w:val="32"/>
          <w:szCs w:val="32"/>
          <w:highlight w:val="none"/>
          <w:lang w:eastAsia="zh-CN"/>
        </w:rPr>
        <w:t>）</w:t>
      </w:r>
      <w:r>
        <w:rPr>
          <w:rFonts w:hint="eastAsia" w:ascii="仿宋_GB2312" w:hAnsi="仿宋" w:eastAsia="仿宋_GB2312" w:cs="仿宋_GB2312"/>
          <w:color w:val="auto"/>
          <w:kern w:val="2"/>
          <w:sz w:val="32"/>
          <w:szCs w:val="32"/>
          <w:highlight w:val="none"/>
          <w:lang w:val="en-US" w:eastAsia="zh-CN" w:bidi="ar"/>
        </w:rPr>
        <w:t>，都可以通过其所在单位的工会或</w:t>
      </w:r>
      <w:r>
        <w:rPr>
          <w:rFonts w:hint="eastAsia" w:ascii="仿宋_GB2312" w:hAnsi="仿宋" w:eastAsia="仿宋_GB2312"/>
          <w:color w:val="auto"/>
          <w:sz w:val="32"/>
          <w:szCs w:val="32"/>
          <w:highlight w:val="none"/>
        </w:rPr>
        <w:t>组织</w:t>
      </w:r>
      <w:r>
        <w:rPr>
          <w:rFonts w:hint="eastAsia" w:ascii="仿宋_GB2312" w:hAnsi="仿宋" w:eastAsia="仿宋_GB2312"/>
          <w:color w:val="auto"/>
          <w:sz w:val="32"/>
          <w:szCs w:val="32"/>
          <w:highlight w:val="none"/>
          <w:lang w:val="en-US" w:eastAsia="zh-CN"/>
        </w:rPr>
        <w:t>赛事、竞赛及其他</w:t>
      </w:r>
      <w:r>
        <w:rPr>
          <w:rFonts w:hint="eastAsia" w:ascii="仿宋_GB2312" w:hAnsi="仿宋" w:eastAsia="仿宋_GB2312"/>
          <w:color w:val="auto"/>
          <w:sz w:val="32"/>
          <w:szCs w:val="32"/>
          <w:highlight w:val="none"/>
        </w:rPr>
        <w:t>活动的</w:t>
      </w:r>
      <w:r>
        <w:rPr>
          <w:rFonts w:hint="eastAsia" w:ascii="仿宋_GB2312" w:hAnsi="仿宋" w:eastAsia="仿宋_GB2312"/>
          <w:color w:val="auto"/>
          <w:sz w:val="32"/>
          <w:szCs w:val="32"/>
          <w:highlight w:val="none"/>
          <w:lang w:eastAsia="zh-CN"/>
        </w:rPr>
        <w:t>各级工会组织</w:t>
      </w:r>
      <w:r>
        <w:rPr>
          <w:rFonts w:hint="eastAsia" w:ascii="仿宋_GB2312" w:hAnsi="仿宋" w:eastAsia="仿宋_GB2312" w:cs="仿宋_GB2312"/>
          <w:color w:val="auto"/>
          <w:kern w:val="2"/>
          <w:sz w:val="32"/>
          <w:szCs w:val="32"/>
          <w:highlight w:val="none"/>
          <w:lang w:val="en-US" w:eastAsia="zh-CN" w:bidi="ar"/>
        </w:rPr>
        <w:t>向所在地中国职工保险互助会办事处申请参加本活动，成为本会会员。</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为保证会员享有公平的权益，本会只接受由基层工会或</w:t>
      </w:r>
      <w:r>
        <w:rPr>
          <w:rFonts w:hint="eastAsia" w:ascii="仿宋_GB2312" w:hAnsi="仿宋" w:eastAsia="仿宋_GB2312"/>
          <w:color w:val="auto"/>
          <w:sz w:val="32"/>
          <w:szCs w:val="32"/>
          <w:highlight w:val="none"/>
        </w:rPr>
        <w:t>组织</w:t>
      </w:r>
      <w:r>
        <w:rPr>
          <w:rFonts w:hint="eastAsia" w:ascii="仿宋_GB2312" w:hAnsi="仿宋" w:eastAsia="仿宋_GB2312"/>
          <w:color w:val="auto"/>
          <w:sz w:val="32"/>
          <w:szCs w:val="32"/>
          <w:highlight w:val="none"/>
          <w:lang w:val="en-US" w:eastAsia="zh-CN"/>
        </w:rPr>
        <w:t>职工</w:t>
      </w:r>
      <w:r>
        <w:rPr>
          <w:rFonts w:hint="eastAsia" w:ascii="仿宋_GB2312" w:hAnsi="仿宋" w:eastAsia="仿宋_GB2312"/>
          <w:color w:val="auto"/>
          <w:sz w:val="32"/>
          <w:szCs w:val="32"/>
          <w:highlight w:val="none"/>
          <w:lang w:eastAsia="zh-CN"/>
        </w:rPr>
        <w:t>体育健身运动等</w:t>
      </w:r>
      <w:r>
        <w:rPr>
          <w:rFonts w:hint="eastAsia" w:ascii="仿宋_GB2312" w:hAnsi="仿宋" w:eastAsia="仿宋_GB2312"/>
          <w:color w:val="auto"/>
          <w:sz w:val="32"/>
          <w:szCs w:val="32"/>
          <w:highlight w:val="none"/>
        </w:rPr>
        <w:t>活动的</w:t>
      </w:r>
      <w:r>
        <w:rPr>
          <w:rFonts w:hint="eastAsia" w:ascii="仿宋_GB2312" w:hAnsi="仿宋" w:eastAsia="仿宋_GB2312"/>
          <w:color w:val="auto"/>
          <w:sz w:val="32"/>
          <w:szCs w:val="32"/>
          <w:highlight w:val="none"/>
          <w:lang w:eastAsia="zh-CN"/>
        </w:rPr>
        <w:t>各级工会组织</w:t>
      </w:r>
      <w:r>
        <w:rPr>
          <w:rFonts w:hint="eastAsia" w:ascii="仿宋_GB2312" w:hAnsi="仿宋" w:eastAsia="仿宋_GB2312" w:cs="仿宋_GB2312"/>
          <w:color w:val="auto"/>
          <w:kern w:val="2"/>
          <w:sz w:val="32"/>
          <w:szCs w:val="32"/>
          <w:highlight w:val="none"/>
          <w:lang w:val="en-US" w:eastAsia="zh-CN" w:bidi="ar"/>
        </w:rPr>
        <w:t>统一组织参加各项文体、竞赛等活动的职工参加本活动。原则上参加本活动的在职职工不得少于20人。</w:t>
      </w:r>
    </w:p>
    <w:p w14:paraId="643CC3F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
          <w:color w:val="auto"/>
          <w:kern w:val="2"/>
          <w:sz w:val="32"/>
          <w:szCs w:val="32"/>
          <w:highlight w:val="none"/>
        </w:rPr>
      </w:pPr>
      <w:r>
        <w:rPr>
          <w:rFonts w:hint="eastAsia" w:ascii="黑体" w:hAnsi="宋体" w:eastAsia="黑体" w:cs="黑体"/>
          <w:color w:val="auto"/>
          <w:kern w:val="2"/>
          <w:sz w:val="32"/>
          <w:szCs w:val="32"/>
          <w:highlight w:val="none"/>
          <w:lang w:val="en-US" w:eastAsia="zh-CN" w:bidi="ar"/>
        </w:rPr>
        <w:t>第三条 参加本活动的规定</w:t>
      </w:r>
      <w:r>
        <w:rPr>
          <w:rFonts w:hint="eastAsia" w:ascii="黑体" w:hAnsi="宋体" w:eastAsia="黑体" w:cs="Times New Roman"/>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1.参加本活动会费标准为每人5元、10元、15元三个档次，交纳会费后互助保障期在约定时间统一生效。互助保障期一经生效中途不得退出本活动。</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2.本活动保障期为1-30天，会费标准5元、10元、15元对应保障期分别为5天（含）以下、5至10天（含）、10至30天（含）。超过30天再续费。自计划书记载的生效日零时起至期满之日24时止。期满续保另办手续。保障期满后，无论会员是否已享受互助金待遇，所交纳会费不再返还。</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 xml:space="preserve">3.会员所在单位或组织活动的工会主体应提供参加本活动的会员名单，包括：姓名、性别、身份证号码等信息，并书面告知其是否属于本活动列明的高风险活动。    </w:t>
      </w:r>
    </w:p>
    <w:p w14:paraId="30E34C0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 w:eastAsia="仿宋_GB2312" w:cs="仿宋_GB2312"/>
          <w:color w:val="auto"/>
          <w:kern w:val="2"/>
          <w:sz w:val="32"/>
          <w:szCs w:val="32"/>
          <w:highlight w:val="none"/>
          <w:lang w:val="en-US" w:eastAsia="zh-CN" w:bidi="ar"/>
        </w:rPr>
      </w:pPr>
      <w:r>
        <w:rPr>
          <w:rFonts w:hint="eastAsia" w:ascii="仿宋_GB2312" w:hAnsi="仿宋" w:eastAsia="仿宋_GB2312" w:cs="仿宋_GB2312"/>
          <w:color w:val="auto"/>
          <w:kern w:val="2"/>
          <w:sz w:val="32"/>
          <w:szCs w:val="32"/>
          <w:highlight w:val="none"/>
          <w:lang w:val="en-US" w:eastAsia="zh-CN" w:bidi="ar"/>
        </w:rPr>
        <w:t>4.在互助保障期内，原则上会员最多参加贰份本活动，超出份数视为无效。如活动确有高额保障需要，办事处可向中互会业务管理部提出增加份数的申请，最多可增加至四份。</w:t>
      </w:r>
    </w:p>
    <w:p w14:paraId="732E00F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_GB2312"/>
          <w:color w:val="auto"/>
          <w:kern w:val="2"/>
          <w:sz w:val="32"/>
          <w:szCs w:val="32"/>
          <w:highlight w:val="none"/>
          <w:lang w:val="en-US" w:eastAsia="zh-CN" w:bidi="ar"/>
        </w:rPr>
        <w:t>5.本活动仅保障会员在中华人民共和国境内（不含香港、澳门、台湾地区）发生的意外伤害事故。</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黑体" w:hAnsi="宋体" w:eastAsia="黑体" w:cs="黑体"/>
          <w:color w:val="auto"/>
          <w:kern w:val="2"/>
          <w:sz w:val="32"/>
          <w:szCs w:val="32"/>
          <w:highlight w:val="none"/>
          <w:lang w:val="en-US" w:eastAsia="zh-CN" w:bidi="ar"/>
        </w:rPr>
        <w:t xml:space="preserve"> 第四条 参加本活动的待遇</w:t>
      </w:r>
      <w:r>
        <w:rPr>
          <w:rFonts w:hint="eastAsia" w:ascii="黑体" w:hAnsi="宋体" w:eastAsia="黑体" w:cs="Times New Roman"/>
          <w:color w:val="auto"/>
          <w:kern w:val="2"/>
          <w:sz w:val="32"/>
          <w:szCs w:val="32"/>
          <w:highlight w:val="none"/>
          <w:lang w:val="en-US" w:eastAsia="zh-CN" w:bidi="ar"/>
        </w:rPr>
        <w:br w:type="textWrapping"/>
      </w:r>
      <w:r>
        <w:rPr>
          <w:rFonts w:hint="eastAsia" w:ascii="黑体" w:hAnsi="宋体" w:eastAsia="黑体" w:cs="Times New Roman"/>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1.会员在活动期间发生意外事故导致残疾时，按照不同伤残程度，累计最高可以领取伤残互助金100,000元/份；如果会员自遭受意外伤害之日起180日（含）治疗仍未结束，则按照第180日（含）的身体伤残状况领取意外伤残互助金。</w:t>
      </w:r>
    </w:p>
    <w:p w14:paraId="6451E70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_GB2312"/>
          <w:color w:val="auto"/>
          <w:kern w:val="2"/>
          <w:sz w:val="32"/>
          <w:szCs w:val="32"/>
          <w:highlight w:val="none"/>
          <w:lang w:val="en-US" w:eastAsia="zh-CN" w:bidi="ar"/>
        </w:rPr>
        <w:t>2.会员在活动期间发生意外事故导致身故时，或者自事故发生之日起180日（含）内因同一原因身故，其直系亲属一次性领取意外身故互助金</w:t>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100,000元/份。</w:t>
      </w:r>
    </w:p>
    <w:p w14:paraId="4209EC7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_GB2312"/>
          <w:color w:val="auto"/>
          <w:kern w:val="2"/>
          <w:sz w:val="32"/>
          <w:szCs w:val="32"/>
          <w:highlight w:val="none"/>
          <w:lang w:val="en-US" w:eastAsia="zh-CN" w:bidi="ar"/>
        </w:rPr>
        <w:t>3.会员在活动期间因发生急性疾病导致猝死时，或者自疾病发生之日起48小时内身故，其直系亲属一次性领取身故互助金</w:t>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50,000元/份。</w:t>
      </w:r>
    </w:p>
    <w:p w14:paraId="4530271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_GB2312"/>
          <w:color w:val="auto"/>
          <w:kern w:val="2"/>
          <w:sz w:val="32"/>
          <w:szCs w:val="32"/>
          <w:highlight w:val="none"/>
          <w:lang w:val="en-US" w:eastAsia="zh-CN" w:bidi="ar"/>
        </w:rPr>
      </w:pPr>
      <w:r>
        <w:rPr>
          <w:rFonts w:hint="eastAsia" w:ascii="仿宋_GB2312" w:hAnsi="仿宋" w:eastAsia="仿宋_GB2312" w:cs="仿宋_GB2312"/>
          <w:color w:val="auto"/>
          <w:kern w:val="2"/>
          <w:sz w:val="32"/>
          <w:szCs w:val="32"/>
          <w:highlight w:val="none"/>
          <w:lang w:val="en-US" w:eastAsia="zh-CN" w:bidi="ar"/>
        </w:rPr>
        <w:t>4.会员在活动期间发生意外事故领取伤残互助金后，在互助保障期内继续享受意外伤害保障待遇，会员领取意外身故互助金后保障待遇终止，会员领取猝死身故互助金后保障待遇终止。</w:t>
      </w:r>
    </w:p>
    <w:p w14:paraId="264DCFB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_GB2312"/>
          <w:color w:val="auto"/>
          <w:kern w:val="2"/>
          <w:sz w:val="32"/>
          <w:szCs w:val="32"/>
          <w:highlight w:val="none"/>
          <w:lang w:val="en-US" w:eastAsia="zh-CN" w:bidi="ar"/>
        </w:rPr>
      </w:pPr>
      <w:r>
        <w:rPr>
          <w:rFonts w:hint="eastAsia" w:ascii="仿宋_GB2312" w:hAnsi="仿宋" w:eastAsia="仿宋_GB2312" w:cs="仿宋_GB2312"/>
          <w:color w:val="auto"/>
          <w:kern w:val="2"/>
          <w:sz w:val="32"/>
          <w:szCs w:val="32"/>
          <w:highlight w:val="none"/>
          <w:lang w:val="en-US" w:eastAsia="zh-CN" w:bidi="ar"/>
        </w:rPr>
        <w:t>5.会员遭受本活动的意外伤害事故，以该事故为直接且单独的原因进行必要治疗，会员自该次意外事故发生之日起180日（含）内，在二级以上（含二级）医疗机构治疗（不限是否参加基本医疗保险），所发生的符合基本医疗保险管理规定的“自付”部分医疗费用（门诊以产生的累计门诊医疗费用计算，住院以首次住院医疗费用计算），每次事故扣除100元免赔额后，经基本医疗保险报销的，按照100%比例领取互助金；未经基本医疗保险报销的，按照80%比例领取互助金；最高领取5000元意外医疗互助金/份。补偿额度不能超过实际发生的医疗自付费用。</w:t>
      </w:r>
    </w:p>
    <w:p w14:paraId="537FFD4D">
      <w:pPr>
        <w:keepNext w:val="0"/>
        <w:keepLines w:val="0"/>
        <w:pageBreakBefore w:val="0"/>
        <w:widowControl w:val="0"/>
        <w:kinsoku/>
        <w:wordWrap/>
        <w:overflowPunct/>
        <w:topLinePunct w:val="0"/>
        <w:autoSpaceDN/>
        <w:bidi w:val="0"/>
        <w:adjustRightInd/>
        <w:snapToGrid/>
        <w:spacing w:line="560" w:lineRule="exact"/>
        <w:ind w:firstLine="640" w:firstLineChars="200"/>
        <w:textAlignment w:val="auto"/>
        <w:rPr>
          <w:rFonts w:hint="default" w:ascii="仿宋_GB2312" w:hAnsi="仿宋" w:eastAsia="仿宋_GB2312" w:cs="仿宋_GB2312"/>
          <w:color w:val="auto"/>
          <w:kern w:val="2"/>
          <w:sz w:val="32"/>
          <w:szCs w:val="32"/>
          <w:highlight w:val="none"/>
          <w:lang w:val="en-US" w:eastAsia="zh-CN" w:bidi="ar"/>
        </w:rPr>
      </w:pPr>
      <w:r>
        <w:rPr>
          <w:rFonts w:hint="eastAsia" w:ascii="仿宋_GB2312" w:hAnsi="仿宋" w:eastAsia="仿宋_GB2312"/>
          <w:color w:val="auto"/>
          <w:sz w:val="32"/>
          <w:szCs w:val="32"/>
          <w:highlight w:val="none"/>
          <w:lang w:val="en-US" w:eastAsia="zh-CN"/>
        </w:rPr>
        <w:t>6</w:t>
      </w:r>
      <w:r>
        <w:rPr>
          <w:rFonts w:hint="eastAsia" w:ascii="仿宋_GB2312" w:hAnsi="仿宋" w:eastAsia="仿宋_GB2312"/>
          <w:color w:val="auto"/>
          <w:sz w:val="32"/>
          <w:szCs w:val="32"/>
          <w:highlight w:val="none"/>
        </w:rPr>
        <w:t>.会员从基本医疗保险以外的其他途径取得费用补偿或赔偿</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lang w:val="en-US" w:eastAsia="zh-CN"/>
        </w:rPr>
        <w:t>如工伤费用报销、职工住院医疗补充报销等</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rPr>
        <w:t>，在扣除其补偿后，剩余部分费用按照上述约定领取意外医疗互助金。</w:t>
      </w:r>
    </w:p>
    <w:p w14:paraId="070B1E0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eastAsia="仿宋_GB2312"/>
          <w:color w:val="auto"/>
          <w:sz w:val="32"/>
          <w:szCs w:val="32"/>
          <w:highlight w:val="none"/>
        </w:rPr>
      </w:pPr>
      <w:r>
        <w:rPr>
          <w:rFonts w:hint="eastAsia" w:ascii="黑体" w:hAnsi="宋体" w:eastAsia="黑体" w:cs="黑体"/>
          <w:color w:val="auto"/>
          <w:kern w:val="2"/>
          <w:sz w:val="32"/>
          <w:szCs w:val="32"/>
          <w:highlight w:val="none"/>
          <w:lang w:val="en-US" w:eastAsia="zh-CN" w:bidi="ar"/>
        </w:rPr>
        <w:t>第五条 下列原因，会员不享受本活动的保障待遇</w:t>
      </w:r>
      <w:r>
        <w:rPr>
          <w:rFonts w:hint="eastAsia" w:ascii="黑体" w:hAnsi="宋体" w:eastAsia="黑体" w:cs="Times New Roman"/>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1.</w:t>
      </w:r>
      <w:r>
        <w:rPr>
          <w:rFonts w:hint="eastAsia" w:ascii="仿宋_GB2312" w:hAnsi="仿宋" w:eastAsia="仿宋_GB2312" w:cs="仿宋_GB2312"/>
          <w:color w:val="auto"/>
          <w:kern w:val="2"/>
          <w:sz w:val="32"/>
          <w:szCs w:val="32"/>
          <w:highlight w:val="none"/>
          <w:lang w:val="en-US" w:eastAsia="zh-CN" w:bidi="ar"/>
        </w:rPr>
        <w:t>战争、军事行动、</w:t>
      </w:r>
      <w:r>
        <w:rPr>
          <w:rFonts w:hint="eastAsia" w:ascii="仿宋_GB2312" w:eastAsia="仿宋_GB2312"/>
          <w:color w:val="auto"/>
          <w:sz w:val="32"/>
          <w:szCs w:val="32"/>
          <w:highlight w:val="none"/>
          <w:lang w:eastAsia="zh-CN"/>
        </w:rPr>
        <w:t>暴乱</w:t>
      </w:r>
      <w:r>
        <w:rPr>
          <w:rFonts w:hint="eastAsia" w:ascii="仿宋_GB2312" w:eastAsia="仿宋_GB2312"/>
          <w:color w:val="auto"/>
          <w:sz w:val="32"/>
          <w:szCs w:val="32"/>
          <w:highlight w:val="none"/>
        </w:rPr>
        <w:t>、武装叛乱</w:t>
      </w:r>
      <w:r>
        <w:rPr>
          <w:rFonts w:hint="eastAsia" w:ascii="仿宋_GB2312" w:eastAsia="仿宋_GB2312"/>
          <w:color w:val="auto"/>
          <w:sz w:val="32"/>
          <w:szCs w:val="32"/>
          <w:highlight w:val="none"/>
          <w:lang w:eastAsia="zh-CN"/>
        </w:rPr>
        <w:t>或</w:t>
      </w:r>
      <w:r>
        <w:rPr>
          <w:rFonts w:hint="eastAsia" w:ascii="仿宋_GB2312" w:eastAsia="仿宋_GB2312"/>
          <w:color w:val="auto"/>
          <w:sz w:val="32"/>
          <w:szCs w:val="32"/>
          <w:highlight w:val="none"/>
        </w:rPr>
        <w:t>恐怖活动；</w:t>
      </w:r>
    </w:p>
    <w:p w14:paraId="5E46ADC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eastAsia="仿宋_GB2312"/>
          <w:color w:val="auto"/>
          <w:sz w:val="32"/>
          <w:szCs w:val="32"/>
          <w:highlight w:val="none"/>
          <w:shd w:val="clear" w:color="auto" w:fill="auto"/>
        </w:rPr>
      </w:pPr>
      <w:r>
        <w:rPr>
          <w:rFonts w:hint="eastAsia" w:ascii="仿宋_GB2312" w:hAnsi="仿宋" w:eastAsia="仿宋_GB2312" w:cs="仿宋"/>
          <w:color w:val="auto"/>
          <w:kern w:val="2"/>
          <w:sz w:val="32"/>
          <w:szCs w:val="32"/>
          <w:highlight w:val="none"/>
          <w:lang w:val="en-US" w:eastAsia="zh-CN" w:bidi="ar"/>
        </w:rPr>
        <w:t>2.</w:t>
      </w:r>
      <w:r>
        <w:rPr>
          <w:rFonts w:hint="eastAsia" w:ascii="仿宋_GB2312" w:eastAsia="仿宋_GB2312"/>
          <w:color w:val="auto"/>
          <w:sz w:val="32"/>
          <w:szCs w:val="32"/>
          <w:highlight w:val="none"/>
        </w:rPr>
        <w:t>核爆炸、核辐射或核污染；</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3.</w:t>
      </w:r>
      <w:r>
        <w:rPr>
          <w:rFonts w:hint="eastAsia" w:ascii="仿宋_GB2312" w:hAnsi="仿宋" w:eastAsia="仿宋_GB2312" w:cs="仿宋_GB2312"/>
          <w:color w:val="auto"/>
          <w:kern w:val="2"/>
          <w:sz w:val="32"/>
          <w:szCs w:val="32"/>
          <w:highlight w:val="none"/>
          <w:lang w:val="en-US" w:eastAsia="zh-CN" w:bidi="ar"/>
        </w:rPr>
        <w:t>不可抗力的自然灾害；</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4.</w:t>
      </w:r>
      <w:r>
        <w:rPr>
          <w:rFonts w:hint="eastAsia" w:ascii="仿宋_GB2312" w:hAnsi="仿宋" w:eastAsia="仿宋_GB2312" w:cs="仿宋_GB2312"/>
          <w:color w:val="auto"/>
          <w:kern w:val="2"/>
          <w:sz w:val="32"/>
          <w:szCs w:val="32"/>
          <w:highlight w:val="none"/>
          <w:lang w:val="en-US" w:eastAsia="zh-CN" w:bidi="ar"/>
        </w:rPr>
        <w:t>违法犯罪行为，从事违法、犯罪活动期间或者被依法拘留、服刑期间；</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5.</w:t>
      </w:r>
      <w:r>
        <w:rPr>
          <w:rFonts w:hint="eastAsia" w:ascii="仿宋_GB2312" w:hAnsi="仿宋" w:eastAsia="仿宋_GB2312" w:cs="仿宋_GB2312"/>
          <w:color w:val="auto"/>
          <w:kern w:val="2"/>
          <w:sz w:val="32"/>
          <w:szCs w:val="32"/>
          <w:highlight w:val="none"/>
          <w:lang w:val="en-US" w:eastAsia="zh-CN" w:bidi="ar"/>
        </w:rPr>
        <w:t>故意行为，挑衅而导致的打斗、被袭击或被谋杀；</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6.</w:t>
      </w:r>
      <w:r>
        <w:rPr>
          <w:rFonts w:hint="eastAsia" w:ascii="仿宋_GB2312" w:hAnsi="仿宋" w:eastAsia="仿宋_GB2312" w:cs="仿宋_GB2312"/>
          <w:color w:val="auto"/>
          <w:kern w:val="2"/>
          <w:sz w:val="32"/>
          <w:szCs w:val="32"/>
          <w:highlight w:val="none"/>
          <w:lang w:val="en-US" w:eastAsia="zh-CN" w:bidi="ar"/>
        </w:rPr>
        <w:t>会员或其所在单位故意隐瞒、伪造或篡改病史、病历以及其他欺骗行为；</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7.</w:t>
      </w:r>
      <w:r>
        <w:rPr>
          <w:rFonts w:hint="eastAsia" w:ascii="仿宋_GB2312" w:hAnsi="仿宋" w:eastAsia="仿宋_GB2312" w:cs="仿宋_GB2312"/>
          <w:color w:val="auto"/>
          <w:kern w:val="2"/>
          <w:sz w:val="32"/>
          <w:szCs w:val="32"/>
          <w:highlight w:val="none"/>
          <w:lang w:val="en-US" w:eastAsia="zh-CN" w:bidi="ar"/>
        </w:rPr>
        <w:t>酗酒或者受酒精、毒品、管制药品影响期间；</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8.</w:t>
      </w:r>
      <w:r>
        <w:rPr>
          <w:rFonts w:hint="eastAsia" w:ascii="仿宋_GB2312" w:eastAsia="仿宋_GB2312"/>
          <w:color w:val="auto"/>
          <w:sz w:val="32"/>
          <w:szCs w:val="32"/>
          <w:highlight w:val="none"/>
          <w:shd w:val="clear" w:color="auto" w:fill="auto"/>
        </w:rPr>
        <w:t>酒后驾驶、无</w:t>
      </w:r>
      <w:r>
        <w:rPr>
          <w:rFonts w:hint="eastAsia" w:ascii="仿宋_GB2312" w:eastAsia="仿宋_GB2312"/>
          <w:color w:val="auto"/>
          <w:sz w:val="32"/>
          <w:szCs w:val="32"/>
          <w:highlight w:val="none"/>
          <w:shd w:val="clear" w:color="auto" w:fill="auto"/>
          <w:lang w:val="en-US" w:eastAsia="zh-CN"/>
        </w:rPr>
        <w:t>合法</w:t>
      </w:r>
      <w:r>
        <w:rPr>
          <w:rFonts w:hint="eastAsia" w:ascii="仿宋_GB2312" w:eastAsia="仿宋_GB2312"/>
          <w:color w:val="auto"/>
          <w:sz w:val="32"/>
          <w:szCs w:val="32"/>
          <w:highlight w:val="none"/>
          <w:shd w:val="clear" w:color="auto" w:fill="auto"/>
        </w:rPr>
        <w:t>有效</w:t>
      </w:r>
      <w:r>
        <w:rPr>
          <w:rFonts w:hint="eastAsia" w:ascii="仿宋_GB2312" w:eastAsia="仿宋_GB2312"/>
          <w:color w:val="auto"/>
          <w:sz w:val="32"/>
          <w:szCs w:val="32"/>
          <w:highlight w:val="none"/>
          <w:shd w:val="clear" w:color="auto" w:fill="auto"/>
          <w:lang w:val="en-US" w:eastAsia="zh-CN"/>
        </w:rPr>
        <w:t>驾驶证</w:t>
      </w:r>
      <w:r>
        <w:rPr>
          <w:rFonts w:hint="eastAsia" w:ascii="仿宋_GB2312" w:eastAsia="仿宋_GB2312"/>
          <w:color w:val="auto"/>
          <w:sz w:val="32"/>
          <w:szCs w:val="32"/>
          <w:highlight w:val="none"/>
          <w:shd w:val="clear" w:color="auto" w:fill="auto"/>
        </w:rPr>
        <w:t>驾驶</w:t>
      </w:r>
      <w:r>
        <w:rPr>
          <w:rFonts w:hint="eastAsia" w:ascii="仿宋_GB2312" w:eastAsia="仿宋_GB2312"/>
          <w:color w:val="auto"/>
          <w:sz w:val="32"/>
          <w:szCs w:val="32"/>
          <w:highlight w:val="none"/>
          <w:shd w:val="clear" w:color="auto" w:fill="auto"/>
          <w:lang w:eastAsia="zh-CN"/>
        </w:rPr>
        <w:t>，或驾驶</w:t>
      </w:r>
      <w:r>
        <w:rPr>
          <w:rFonts w:hint="eastAsia" w:ascii="仿宋_GB2312" w:eastAsia="仿宋_GB2312"/>
          <w:color w:val="auto"/>
          <w:sz w:val="32"/>
          <w:szCs w:val="32"/>
          <w:highlight w:val="none"/>
          <w:shd w:val="clear" w:color="auto" w:fill="auto"/>
        </w:rPr>
        <w:t>无</w:t>
      </w:r>
      <w:r>
        <w:rPr>
          <w:rFonts w:hint="eastAsia" w:ascii="仿宋_GB2312" w:eastAsia="仿宋_GB2312"/>
          <w:color w:val="auto"/>
          <w:sz w:val="32"/>
          <w:szCs w:val="32"/>
          <w:highlight w:val="none"/>
          <w:shd w:val="clear" w:color="auto" w:fill="auto"/>
          <w:lang w:eastAsia="zh-CN"/>
        </w:rPr>
        <w:t>有效行驶证</w:t>
      </w:r>
      <w:r>
        <w:rPr>
          <w:rFonts w:hint="eastAsia" w:ascii="仿宋_GB2312" w:eastAsia="仿宋_GB2312"/>
          <w:color w:val="auto"/>
          <w:sz w:val="32"/>
          <w:szCs w:val="32"/>
          <w:highlight w:val="none"/>
          <w:shd w:val="clear" w:color="auto" w:fill="auto"/>
          <w:lang w:val="en-US" w:eastAsia="zh-CN"/>
        </w:rPr>
        <w:t>的机动车</w:t>
      </w:r>
      <w:r>
        <w:rPr>
          <w:rFonts w:hint="eastAsia" w:ascii="仿宋_GB2312" w:eastAsia="仿宋_GB2312"/>
          <w:color w:val="auto"/>
          <w:sz w:val="32"/>
          <w:szCs w:val="32"/>
          <w:highlight w:val="none"/>
          <w:shd w:val="clear" w:color="auto" w:fill="auto"/>
        </w:rPr>
        <w:t>；</w:t>
      </w:r>
    </w:p>
    <w:p w14:paraId="2DBB073A">
      <w:pPr>
        <w:keepNext w:val="0"/>
        <w:keepLines w:val="0"/>
        <w:pageBreakBefore w:val="0"/>
        <w:widowControl w:val="0"/>
        <w:kinsoku/>
        <w:wordWrap/>
        <w:overflowPunct/>
        <w:topLinePunct w:val="0"/>
        <w:autoSpaceDN/>
        <w:bidi w:val="0"/>
        <w:adjustRightInd/>
        <w:snapToGrid/>
        <w:spacing w:line="560" w:lineRule="exact"/>
        <w:ind w:firstLine="640" w:firstLineChars="200"/>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
          <w:color w:val="auto"/>
          <w:kern w:val="2"/>
          <w:sz w:val="32"/>
          <w:szCs w:val="32"/>
          <w:highlight w:val="none"/>
          <w:lang w:val="en-US" w:eastAsia="zh-CN" w:bidi="ar"/>
        </w:rPr>
        <w:t>9</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eastAsia="zh-CN"/>
        </w:rPr>
        <w:t>会员患精神性疾病</w:t>
      </w:r>
      <w:r>
        <w:rPr>
          <w:rFonts w:hint="eastAsia" w:ascii="仿宋_GB2312" w:eastAsia="仿宋_GB2312"/>
          <w:color w:val="auto"/>
          <w:sz w:val="32"/>
          <w:szCs w:val="32"/>
          <w:highlight w:val="none"/>
        </w:rPr>
        <w:t>（依</w:t>
      </w:r>
      <w:r>
        <w:rPr>
          <w:rFonts w:hint="eastAsia" w:ascii="仿宋_GB2312" w:eastAsia="仿宋_GB2312"/>
          <w:color w:val="auto"/>
          <w:sz w:val="32"/>
          <w:szCs w:val="32"/>
          <w:highlight w:val="none"/>
          <w:lang w:eastAsia="zh-CN"/>
        </w:rPr>
        <w:t>据</w:t>
      </w:r>
      <w:r>
        <w:rPr>
          <w:rFonts w:hint="eastAsia" w:ascii="仿宋_GB2312" w:eastAsia="仿宋_GB2312"/>
          <w:color w:val="auto"/>
          <w:sz w:val="32"/>
          <w:szCs w:val="32"/>
          <w:highlight w:val="none"/>
        </w:rPr>
        <w:t>世界卫生组织《疾病和有关健康问题的国际统计分类》（ICO-10）</w:t>
      </w:r>
      <w:r>
        <w:rPr>
          <w:rFonts w:hint="eastAsia" w:ascii="仿宋_GB2312" w:eastAsia="仿宋_GB2312"/>
          <w:color w:val="auto"/>
          <w:sz w:val="32"/>
          <w:szCs w:val="32"/>
          <w:highlight w:val="none"/>
          <w:lang w:eastAsia="zh-CN"/>
        </w:rPr>
        <w:t>分类为精神行为障碍的疾病</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eastAsia="zh-CN"/>
        </w:rPr>
        <w:t>期间</w:t>
      </w:r>
      <w:r>
        <w:rPr>
          <w:rFonts w:hint="eastAsia" w:ascii="仿宋_GB2312" w:eastAsia="仿宋_GB2312"/>
          <w:color w:val="auto"/>
          <w:sz w:val="32"/>
          <w:szCs w:val="32"/>
          <w:highlight w:val="none"/>
        </w:rPr>
        <w:t>；</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10.在非认可医疗机构就医的;</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1</w:t>
      </w:r>
      <w:r>
        <w:rPr>
          <w:rFonts w:hint="eastAsia" w:ascii="仿宋_GB2312" w:hAnsi="仿宋" w:eastAsia="仿宋_GB2312" w:cs="仿宋_GB2312"/>
          <w:color w:val="auto"/>
          <w:kern w:val="2"/>
          <w:sz w:val="32"/>
          <w:szCs w:val="32"/>
          <w:highlight w:val="none"/>
          <w:lang w:val="en-US" w:eastAsia="zh-CN" w:bidi="ar"/>
        </w:rPr>
        <w:t>1</w:t>
      </w:r>
      <w:r>
        <w:rPr>
          <w:rFonts w:hint="eastAsia" w:ascii="仿宋_GB2312" w:hAnsi="仿宋" w:eastAsia="仿宋_GB2312" w:cs="仿宋"/>
          <w:color w:val="auto"/>
          <w:kern w:val="2"/>
          <w:sz w:val="32"/>
          <w:szCs w:val="32"/>
          <w:highlight w:val="none"/>
          <w:lang w:val="en-US" w:eastAsia="zh-CN" w:bidi="ar"/>
        </w:rPr>
        <w:t>.</w:t>
      </w:r>
      <w:r>
        <w:rPr>
          <w:rFonts w:hint="eastAsia" w:ascii="仿宋_GB2312" w:hAnsi="仿宋" w:eastAsia="仿宋_GB2312" w:cs="仿宋_GB2312"/>
          <w:color w:val="auto"/>
          <w:kern w:val="2"/>
          <w:sz w:val="32"/>
          <w:szCs w:val="32"/>
          <w:highlight w:val="none"/>
          <w:lang w:val="en-US" w:eastAsia="zh-CN" w:bidi="ar"/>
        </w:rPr>
        <w:t>在参加本活动前或非活动期间已发生意外伤害或疾病发作导致的；</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1</w:t>
      </w:r>
      <w:r>
        <w:rPr>
          <w:rFonts w:hint="eastAsia" w:ascii="仿宋_GB2312" w:hAnsi="仿宋" w:eastAsia="仿宋_GB2312" w:cs="仿宋_GB2312"/>
          <w:color w:val="auto"/>
          <w:kern w:val="2"/>
          <w:sz w:val="32"/>
          <w:szCs w:val="32"/>
          <w:highlight w:val="none"/>
          <w:lang w:val="en-US" w:eastAsia="zh-CN" w:bidi="ar"/>
        </w:rPr>
        <w:t>2</w:t>
      </w:r>
      <w:r>
        <w:rPr>
          <w:rFonts w:hint="eastAsia" w:ascii="仿宋_GB2312" w:hAnsi="仿宋" w:eastAsia="仿宋_GB2312" w:cs="仿宋"/>
          <w:color w:val="auto"/>
          <w:kern w:val="2"/>
          <w:sz w:val="32"/>
          <w:szCs w:val="32"/>
          <w:highlight w:val="none"/>
          <w:lang w:val="en-US" w:eastAsia="zh-CN" w:bidi="ar"/>
        </w:rPr>
        <w:t>.</w:t>
      </w:r>
      <w:r>
        <w:rPr>
          <w:rFonts w:hint="eastAsia" w:ascii="仿宋_GB2312" w:hAnsi="仿宋" w:eastAsia="仿宋_GB2312" w:cs="仿宋_GB2312"/>
          <w:color w:val="auto"/>
          <w:kern w:val="2"/>
          <w:sz w:val="32"/>
          <w:szCs w:val="32"/>
          <w:highlight w:val="none"/>
          <w:lang w:val="en-US" w:eastAsia="zh-CN" w:bidi="ar"/>
        </w:rPr>
        <w:t>遭受意外事故和猝死以外的原因失踪而被法院宣告死亡；</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1</w:t>
      </w:r>
      <w:r>
        <w:rPr>
          <w:rFonts w:hint="eastAsia" w:ascii="仿宋_GB2312" w:hAnsi="仿宋" w:eastAsia="仿宋_GB2312" w:cs="仿宋_GB2312"/>
          <w:color w:val="auto"/>
          <w:kern w:val="2"/>
          <w:sz w:val="32"/>
          <w:szCs w:val="32"/>
          <w:highlight w:val="none"/>
          <w:lang w:val="en-US" w:eastAsia="zh-CN" w:bidi="ar"/>
        </w:rPr>
        <w:t>3</w:t>
      </w:r>
      <w:r>
        <w:rPr>
          <w:rFonts w:hint="eastAsia" w:ascii="仿宋_GB2312" w:hAnsi="仿宋" w:eastAsia="仿宋_GB2312" w:cs="仿宋"/>
          <w:color w:val="auto"/>
          <w:kern w:val="2"/>
          <w:sz w:val="32"/>
          <w:szCs w:val="32"/>
          <w:highlight w:val="none"/>
          <w:lang w:val="en-US" w:eastAsia="zh-CN" w:bidi="ar"/>
        </w:rPr>
        <w:t>.</w:t>
      </w:r>
      <w:r>
        <w:rPr>
          <w:rFonts w:hint="eastAsia" w:ascii="仿宋_GB2312" w:hAnsi="仿宋" w:eastAsia="仿宋_GB2312" w:cs="仿宋_GB2312"/>
          <w:color w:val="auto"/>
          <w:kern w:val="2"/>
          <w:sz w:val="32"/>
          <w:szCs w:val="32"/>
          <w:highlight w:val="none"/>
          <w:lang w:val="en-US" w:eastAsia="zh-CN" w:bidi="ar"/>
        </w:rPr>
        <w:t>食物中毒或药物过敏导致的；</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1</w:t>
      </w:r>
      <w:r>
        <w:rPr>
          <w:rFonts w:hint="eastAsia" w:ascii="仿宋_GB2312" w:hAnsi="仿宋" w:eastAsia="仿宋_GB2312" w:cs="仿宋_GB2312"/>
          <w:color w:val="auto"/>
          <w:kern w:val="2"/>
          <w:sz w:val="32"/>
          <w:szCs w:val="32"/>
          <w:highlight w:val="none"/>
          <w:lang w:val="en-US" w:eastAsia="zh-CN" w:bidi="ar"/>
        </w:rPr>
        <w:t>4</w:t>
      </w:r>
      <w:r>
        <w:rPr>
          <w:rFonts w:hint="eastAsia" w:ascii="仿宋_GB2312" w:hAnsi="仿宋" w:eastAsia="仿宋_GB2312" w:cs="仿宋"/>
          <w:color w:val="auto"/>
          <w:kern w:val="2"/>
          <w:sz w:val="32"/>
          <w:szCs w:val="32"/>
          <w:highlight w:val="none"/>
          <w:lang w:val="en-US" w:eastAsia="zh-CN" w:bidi="ar"/>
        </w:rPr>
        <w:t>.</w:t>
      </w:r>
      <w:r>
        <w:rPr>
          <w:rFonts w:hint="eastAsia" w:ascii="仿宋_GB2312" w:hAnsi="仿宋" w:eastAsia="仿宋_GB2312" w:cs="仿宋_GB2312"/>
          <w:color w:val="auto"/>
          <w:kern w:val="2"/>
          <w:sz w:val="32"/>
          <w:szCs w:val="32"/>
          <w:highlight w:val="none"/>
          <w:lang w:val="en-US" w:eastAsia="zh-CN" w:bidi="ar"/>
        </w:rPr>
        <w:t>自杀、自残导致的；</w:t>
      </w:r>
    </w:p>
    <w:p w14:paraId="3AC76B08">
      <w:pPr>
        <w:keepNext w:val="0"/>
        <w:keepLines w:val="0"/>
        <w:pageBreakBefore w:val="0"/>
        <w:widowControl w:val="0"/>
        <w:kinsoku/>
        <w:wordWrap/>
        <w:overflowPunct/>
        <w:topLinePunct w:val="0"/>
        <w:autoSpaceDN/>
        <w:bidi w:val="0"/>
        <w:adjustRightInd/>
        <w:snapToGrid/>
        <w:spacing w:line="560" w:lineRule="exact"/>
        <w:ind w:firstLine="640" w:firstLineChars="200"/>
        <w:textAlignment w:val="auto"/>
        <w:rPr>
          <w:rFonts w:hint="eastAsia" w:ascii="仿宋_GB2312" w:hAnsi="仿宋" w:eastAsia="仿宋_GB2312" w:cs="Times New Roman"/>
          <w:color w:val="auto"/>
          <w:sz w:val="32"/>
          <w:szCs w:val="32"/>
          <w:highlight w:val="none"/>
        </w:rPr>
      </w:pPr>
      <w:r>
        <w:rPr>
          <w:rFonts w:hint="eastAsia" w:ascii="仿宋_GB2312" w:hAnsi="仿宋" w:eastAsia="仿宋_GB2312" w:cs="仿宋_GB2312"/>
          <w:color w:val="auto"/>
          <w:kern w:val="2"/>
          <w:sz w:val="32"/>
          <w:szCs w:val="32"/>
          <w:highlight w:val="none"/>
          <w:lang w:val="en-US" w:eastAsia="zh-CN" w:bidi="ar"/>
        </w:rPr>
        <w:t>15.其他非意外伤害原因导致的；</w:t>
      </w:r>
    </w:p>
    <w:p w14:paraId="6BF2336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
          <w:color w:val="auto"/>
          <w:kern w:val="2"/>
          <w:sz w:val="32"/>
          <w:szCs w:val="32"/>
          <w:highlight w:val="none"/>
          <w:lang w:val="en-US" w:eastAsia="zh-CN" w:bidi="ar"/>
        </w:rPr>
      </w:pPr>
      <w:r>
        <w:rPr>
          <w:rFonts w:hint="eastAsia" w:ascii="仿宋_GB2312" w:hAnsi="仿宋" w:eastAsia="仿宋_GB2312" w:cs="仿宋"/>
          <w:color w:val="auto"/>
          <w:kern w:val="2"/>
          <w:sz w:val="32"/>
          <w:szCs w:val="32"/>
          <w:highlight w:val="none"/>
          <w:lang w:val="en-US" w:eastAsia="zh-CN" w:bidi="ar"/>
        </w:rPr>
        <w:t>16.不承保职业运动员，半职业运动员的职业赛事；</w:t>
      </w:r>
    </w:p>
    <w:p w14:paraId="045EF904">
      <w:pPr>
        <w:keepNext w:val="0"/>
        <w:keepLines w:val="0"/>
        <w:pageBreakBefore w:val="0"/>
        <w:widowControl w:val="0"/>
        <w:kinsoku/>
        <w:wordWrap/>
        <w:overflowPunct/>
        <w:topLinePunct w:val="0"/>
        <w:autoSpaceDN/>
        <w:bidi w:val="0"/>
        <w:adjustRightInd/>
        <w:snapToGrid/>
        <w:spacing w:line="560" w:lineRule="exact"/>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s="仿宋"/>
          <w:color w:val="auto"/>
          <w:kern w:val="2"/>
          <w:sz w:val="32"/>
          <w:szCs w:val="32"/>
          <w:highlight w:val="none"/>
          <w:lang w:val="en-US" w:eastAsia="zh-CN" w:bidi="ar"/>
        </w:rPr>
        <w:t>17</w:t>
      </w:r>
      <w:r>
        <w:rPr>
          <w:rFonts w:hint="eastAsia" w:ascii="仿宋_GB2312" w:hAnsi="仿宋" w:eastAsia="仿宋_GB2312"/>
          <w:color w:val="auto"/>
          <w:sz w:val="32"/>
          <w:szCs w:val="32"/>
          <w:highlight w:val="none"/>
        </w:rPr>
        <w:t>.</w:t>
      </w:r>
      <w:r>
        <w:rPr>
          <w:rFonts w:hint="eastAsia" w:ascii="仿宋_GB2312" w:hAnsi="仿宋" w:eastAsia="仿宋_GB2312" w:cs="Times New Roman"/>
          <w:color w:val="auto"/>
          <w:sz w:val="32"/>
          <w:szCs w:val="32"/>
          <w:highlight w:val="none"/>
        </w:rPr>
        <w:t>潜水</w:t>
      </w:r>
      <w:r>
        <w:rPr>
          <w:rFonts w:hint="eastAsia" w:ascii="仿宋_GB2312" w:hAnsi="仿宋" w:eastAsia="仿宋_GB2312" w:cs="Times New Roman"/>
          <w:color w:val="auto"/>
          <w:sz w:val="32"/>
          <w:szCs w:val="32"/>
          <w:highlight w:val="none"/>
          <w:lang w:eastAsia="zh-CN"/>
        </w:rPr>
        <w:t>，</w:t>
      </w:r>
      <w:r>
        <w:rPr>
          <w:rFonts w:hint="eastAsia" w:ascii="仿宋_GB2312" w:hAnsi="仿宋" w:eastAsia="仿宋_GB2312" w:cs="仿宋_GB2312"/>
          <w:color w:val="auto"/>
          <w:kern w:val="2"/>
          <w:sz w:val="32"/>
          <w:szCs w:val="32"/>
          <w:highlight w:val="none"/>
          <w:lang w:val="en-US" w:eastAsia="zh-CN" w:bidi="ar"/>
        </w:rPr>
        <w:t>驾驶或乘坐滑翔翼、滑翔伞、跳伞，</w:t>
      </w:r>
      <w:r>
        <w:rPr>
          <w:rFonts w:hint="eastAsia" w:ascii="仿宋_GB2312" w:hAnsi="仿宋" w:eastAsia="仿宋_GB2312" w:cs="Times New Roman"/>
          <w:color w:val="auto"/>
          <w:sz w:val="32"/>
          <w:szCs w:val="32"/>
          <w:highlight w:val="none"/>
        </w:rPr>
        <w:t>蹦极</w:t>
      </w:r>
      <w:r>
        <w:rPr>
          <w:rFonts w:hint="eastAsia" w:ascii="仿宋_GB2312" w:hAnsi="仿宋" w:eastAsia="仿宋_GB2312" w:cs="Times New Roman"/>
          <w:color w:val="auto"/>
          <w:sz w:val="32"/>
          <w:szCs w:val="32"/>
          <w:highlight w:val="none"/>
          <w:lang w:eastAsia="zh-CN"/>
        </w:rPr>
        <w:t>，</w:t>
      </w:r>
      <w:r>
        <w:rPr>
          <w:rFonts w:hint="eastAsia" w:ascii="仿宋_GB2312" w:hAnsi="仿宋" w:eastAsia="仿宋_GB2312" w:cs="Times New Roman"/>
          <w:color w:val="auto"/>
          <w:sz w:val="32"/>
          <w:szCs w:val="32"/>
          <w:highlight w:val="none"/>
        </w:rPr>
        <w:t>攀岩运动</w:t>
      </w:r>
      <w:r>
        <w:rPr>
          <w:rFonts w:hint="eastAsia" w:ascii="仿宋_GB2312" w:hAnsi="仿宋" w:eastAsia="仿宋_GB2312" w:cs="Times New Roman"/>
          <w:color w:val="auto"/>
          <w:sz w:val="32"/>
          <w:szCs w:val="32"/>
          <w:highlight w:val="none"/>
          <w:lang w:eastAsia="zh-CN"/>
        </w:rPr>
        <w:t>，</w:t>
      </w:r>
      <w:r>
        <w:rPr>
          <w:rFonts w:hint="eastAsia" w:ascii="仿宋_GB2312" w:hAnsi="仿宋" w:eastAsia="仿宋_GB2312" w:cs="Times New Roman"/>
          <w:color w:val="auto"/>
          <w:sz w:val="32"/>
          <w:szCs w:val="32"/>
          <w:highlight w:val="none"/>
        </w:rPr>
        <w:t>探险活动</w:t>
      </w:r>
      <w:r>
        <w:rPr>
          <w:rFonts w:hint="eastAsia" w:ascii="仿宋_GB2312" w:hAnsi="仿宋" w:eastAsia="仿宋_GB2312" w:cs="Times New Roman"/>
          <w:color w:val="auto"/>
          <w:sz w:val="32"/>
          <w:szCs w:val="32"/>
          <w:highlight w:val="none"/>
          <w:lang w:eastAsia="zh-CN"/>
        </w:rPr>
        <w:t>，</w:t>
      </w:r>
      <w:r>
        <w:rPr>
          <w:rFonts w:hint="eastAsia" w:ascii="仿宋_GB2312" w:hAnsi="仿宋" w:eastAsia="仿宋_GB2312" w:cs="Times New Roman"/>
          <w:color w:val="auto"/>
          <w:sz w:val="32"/>
          <w:szCs w:val="32"/>
          <w:highlight w:val="none"/>
        </w:rPr>
        <w:t>武术比赛</w:t>
      </w:r>
      <w:r>
        <w:rPr>
          <w:rFonts w:hint="eastAsia" w:ascii="仿宋_GB2312" w:hAnsi="仿宋" w:eastAsia="仿宋_GB2312" w:cs="Times New Roman"/>
          <w:color w:val="auto"/>
          <w:sz w:val="32"/>
          <w:szCs w:val="32"/>
          <w:highlight w:val="none"/>
          <w:lang w:eastAsia="zh-CN"/>
        </w:rPr>
        <w:t>，</w:t>
      </w:r>
      <w:r>
        <w:rPr>
          <w:rFonts w:hint="eastAsia" w:ascii="仿宋_GB2312" w:hAnsi="仿宋" w:eastAsia="仿宋_GB2312" w:cs="Times New Roman"/>
          <w:color w:val="auto"/>
          <w:sz w:val="32"/>
          <w:szCs w:val="32"/>
          <w:highlight w:val="none"/>
        </w:rPr>
        <w:t>摔跤比赛</w:t>
      </w:r>
      <w:r>
        <w:rPr>
          <w:rFonts w:hint="eastAsia" w:ascii="仿宋_GB2312" w:hAnsi="仿宋" w:eastAsia="仿宋_GB2312" w:cs="Times New Roman"/>
          <w:color w:val="auto"/>
          <w:sz w:val="32"/>
          <w:szCs w:val="32"/>
          <w:highlight w:val="none"/>
          <w:lang w:eastAsia="zh-CN"/>
        </w:rPr>
        <w:t>，</w:t>
      </w:r>
      <w:r>
        <w:rPr>
          <w:rFonts w:hint="eastAsia" w:ascii="仿宋_GB2312" w:hAnsi="仿宋" w:eastAsia="仿宋_GB2312" w:cs="仿宋_GB2312"/>
          <w:color w:val="auto"/>
          <w:kern w:val="2"/>
          <w:sz w:val="32"/>
          <w:szCs w:val="32"/>
          <w:highlight w:val="none"/>
          <w:lang w:val="en-US" w:eastAsia="zh-CN" w:bidi="ar"/>
        </w:rPr>
        <w:t>拳击，</w:t>
      </w:r>
      <w:r>
        <w:rPr>
          <w:rFonts w:hint="eastAsia" w:ascii="仿宋_GB2312" w:hAnsi="仿宋" w:eastAsia="仿宋_GB2312" w:cs="Times New Roman"/>
          <w:color w:val="auto"/>
          <w:sz w:val="32"/>
          <w:szCs w:val="32"/>
          <w:highlight w:val="none"/>
        </w:rPr>
        <w:t>特技表演</w:t>
      </w:r>
      <w:r>
        <w:rPr>
          <w:rFonts w:hint="eastAsia" w:ascii="仿宋_GB2312" w:hAnsi="仿宋" w:eastAsia="仿宋_GB2312" w:cs="Times New Roman"/>
          <w:color w:val="auto"/>
          <w:sz w:val="32"/>
          <w:szCs w:val="32"/>
          <w:highlight w:val="none"/>
          <w:lang w:eastAsia="zh-CN"/>
        </w:rPr>
        <w:t>，</w:t>
      </w:r>
      <w:r>
        <w:rPr>
          <w:rFonts w:hint="eastAsia" w:ascii="仿宋_GB2312" w:hAnsi="仿宋" w:eastAsia="仿宋_GB2312" w:cs="Times New Roman"/>
          <w:color w:val="auto"/>
          <w:sz w:val="32"/>
          <w:szCs w:val="32"/>
          <w:highlight w:val="none"/>
        </w:rPr>
        <w:t>赛马</w:t>
      </w:r>
      <w:r>
        <w:rPr>
          <w:rFonts w:hint="eastAsia" w:ascii="仿宋_GB2312" w:hAnsi="仿宋" w:eastAsia="仿宋_GB2312" w:cs="Times New Roman"/>
          <w:color w:val="auto"/>
          <w:sz w:val="32"/>
          <w:szCs w:val="32"/>
          <w:highlight w:val="none"/>
          <w:lang w:eastAsia="zh-CN"/>
        </w:rPr>
        <w:t>，</w:t>
      </w:r>
      <w:r>
        <w:rPr>
          <w:rFonts w:hint="eastAsia" w:ascii="仿宋_GB2312" w:hAnsi="仿宋" w:eastAsia="仿宋_GB2312" w:cs="Times New Roman"/>
          <w:color w:val="auto"/>
          <w:sz w:val="32"/>
          <w:szCs w:val="32"/>
          <w:highlight w:val="none"/>
        </w:rPr>
        <w:t>赛车等高风险的活动</w:t>
      </w:r>
      <w:r>
        <w:rPr>
          <w:rFonts w:hint="eastAsia" w:ascii="仿宋_GB2312" w:hAnsi="仿宋" w:eastAsia="仿宋_GB2312" w:cs="仿宋"/>
          <w:color w:val="auto"/>
          <w:kern w:val="2"/>
          <w:sz w:val="32"/>
          <w:szCs w:val="32"/>
          <w:highlight w:val="none"/>
          <w:lang w:val="en-US" w:eastAsia="zh-CN" w:bidi="ar"/>
        </w:rPr>
        <w:t>不属于保障责任范围；</w:t>
      </w:r>
    </w:p>
    <w:p w14:paraId="5B8F8B43">
      <w:pPr>
        <w:keepNext w:val="0"/>
        <w:keepLines w:val="0"/>
        <w:pageBreakBefore w:val="0"/>
        <w:widowControl w:val="0"/>
        <w:kinsoku/>
        <w:wordWrap/>
        <w:overflowPunct/>
        <w:topLinePunct w:val="0"/>
        <w:autoSpaceDN/>
        <w:bidi w:val="0"/>
        <w:adjustRightInd/>
        <w:snapToGrid/>
        <w:spacing w:line="560" w:lineRule="exact"/>
        <w:ind w:firstLine="640" w:firstLineChars="200"/>
        <w:textAlignment w:val="auto"/>
        <w:rPr>
          <w:rFonts w:hint="eastAsia" w:ascii="仿宋_GB2312" w:hAnsi="仿宋" w:eastAsia="仿宋_GB2312" w:cs="仿宋_GB2312"/>
          <w:color w:val="auto"/>
          <w:kern w:val="2"/>
          <w:sz w:val="32"/>
          <w:szCs w:val="32"/>
          <w:highlight w:val="none"/>
          <w:lang w:val="en-US" w:eastAsia="zh-CN" w:bidi="ar"/>
        </w:rPr>
      </w:pPr>
      <w:r>
        <w:rPr>
          <w:rFonts w:hint="eastAsia" w:ascii="仿宋_GB2312" w:hAnsi="仿宋" w:eastAsia="仿宋_GB2312" w:cs="Times New Roman"/>
          <w:color w:val="auto"/>
          <w:sz w:val="32"/>
          <w:szCs w:val="32"/>
          <w:highlight w:val="none"/>
          <w:lang w:val="en-US" w:eastAsia="zh-CN"/>
        </w:rPr>
        <w:t>18.在中华人民共和国境外治疗的。</w:t>
      </w:r>
      <w:r>
        <w:rPr>
          <w:rFonts w:hint="eastAsia" w:ascii="仿宋_GB2312" w:hAnsi="仿宋" w:eastAsia="仿宋_GB2312" w:cs="仿宋"/>
          <w:color w:val="auto"/>
          <w:kern w:val="2"/>
          <w:sz w:val="32"/>
          <w:szCs w:val="32"/>
          <w:highlight w:val="none"/>
          <w:lang w:val="en-US" w:eastAsia="zh-CN" w:bidi="ar"/>
        </w:rPr>
        <w:br w:type="textWrapping"/>
      </w:r>
      <w:r>
        <w:rPr>
          <w:rFonts w:hint="eastAsia" w:ascii="黑体" w:hAnsi="宋体" w:eastAsia="黑体" w:cs="黑体"/>
          <w:color w:val="auto"/>
          <w:kern w:val="2"/>
          <w:sz w:val="32"/>
          <w:szCs w:val="32"/>
          <w:highlight w:val="none"/>
          <w:lang w:val="en-US" w:eastAsia="zh-CN" w:bidi="ar"/>
        </w:rPr>
        <w:t xml:space="preserve">    第六条 互助金的受领人</w:t>
      </w:r>
      <w:r>
        <w:rPr>
          <w:rFonts w:hint="eastAsia" w:ascii="黑体" w:hAnsi="宋体" w:eastAsia="黑体" w:cs="Times New Roman"/>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1.</w:t>
      </w:r>
      <w:r>
        <w:rPr>
          <w:rFonts w:hint="eastAsia" w:ascii="仿宋_GB2312" w:hAnsi="仿宋" w:eastAsia="仿宋_GB2312" w:cs="仿宋_GB2312"/>
          <w:color w:val="auto"/>
          <w:kern w:val="2"/>
          <w:sz w:val="32"/>
          <w:szCs w:val="32"/>
          <w:highlight w:val="none"/>
          <w:lang w:val="en-US" w:eastAsia="zh-CN" w:bidi="ar"/>
        </w:rPr>
        <w:t>伤残及意外医疗互助金由会员本人受领。</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2.</w:t>
      </w:r>
      <w:r>
        <w:rPr>
          <w:rFonts w:hint="eastAsia" w:ascii="仿宋_GB2312" w:hAnsi="仿宋" w:eastAsia="仿宋_GB2312" w:cs="仿宋_GB2312"/>
          <w:color w:val="auto"/>
          <w:kern w:val="2"/>
          <w:sz w:val="32"/>
          <w:szCs w:val="32"/>
          <w:highlight w:val="none"/>
          <w:lang w:val="en-US" w:eastAsia="zh-CN" w:bidi="ar"/>
        </w:rPr>
        <w:t>身故互助金由会员直系亲属受领。</w:t>
      </w:r>
      <w:r>
        <w:rPr>
          <w:rFonts w:hint="eastAsia" w:ascii="仿宋" w:hAnsi="仿宋" w:eastAsia="仿宋" w:cs="Times New Roman"/>
          <w:color w:val="auto"/>
          <w:kern w:val="0"/>
          <w:sz w:val="32"/>
          <w:szCs w:val="32"/>
          <w:highlight w:val="none"/>
          <w:lang w:val="en-US" w:eastAsia="zh-CN" w:bidi="ar"/>
        </w:rPr>
        <w:br w:type="textWrapping"/>
      </w:r>
      <w:r>
        <w:rPr>
          <w:rFonts w:hint="eastAsia" w:ascii="黑体" w:hAnsi="宋体" w:eastAsia="黑体" w:cs="黑体"/>
          <w:color w:val="auto"/>
          <w:kern w:val="2"/>
          <w:sz w:val="32"/>
          <w:szCs w:val="32"/>
          <w:highlight w:val="none"/>
          <w:lang w:val="en-US" w:eastAsia="zh-CN" w:bidi="ar"/>
        </w:rPr>
        <w:t xml:space="preserve">    第七条 互助金的申领手续</w:t>
      </w:r>
      <w:r>
        <w:rPr>
          <w:rFonts w:hint="eastAsia" w:ascii="黑体" w:hAnsi="宋体" w:eastAsia="黑体" w:cs="Times New Roman"/>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1.会员或参保单位应自意外事故发生之日起15日（含）内通知中互会办事处。如果未及时通知，致使意外事故的性质、原因、损失程度难以确定，本会对无法确定的部分，不承担给付互助金的责任，但办事处通过其他途径已经即使知道或者虽未及时通知但不影响办事处确定意外事故的性质、原因、损失程度的除外；</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2.会员通过其所在单位工会向办事处申请领取互助金时，应填写《互助金申请书》，提供与意外事故的发生日期、性质、原因、伤害程度等有关的证明和资料，会员的身份证复印件、会员本人的银行卡号及开户行名称；</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3.会员申请伤残互助金时，应提供由二级以上（含二级）医疗机构出具的伤残程度证明。如果会员自遭受意外伤害之日起180日（含）治疗仍未结束，则按照第180日（含）的身体伤残状况出具相应证明；</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4.二级以上（含二级）医疗机构出具的医疗证明：如诊断证明、医疗病历、医疗费用清单，住院病案首页，住院用药治疗清单，入院、出院记录（需加盖医院病案室专用章），以及需要由会员提供的其他证明材料；</w:t>
      </w:r>
    </w:p>
    <w:p w14:paraId="6F8F745C">
      <w:pPr>
        <w:keepNext w:val="0"/>
        <w:keepLines w:val="0"/>
        <w:widowControl/>
        <w:suppressLineNumbers w:val="0"/>
        <w:ind w:firstLine="640" w:firstLineChars="200"/>
        <w:jc w:val="left"/>
        <w:rPr>
          <w:rFonts w:hint="eastAsia" w:ascii="仿宋_GB2312" w:hAnsi="仿宋" w:eastAsia="仿宋_GB2312" w:cs="仿宋"/>
          <w:color w:val="auto"/>
          <w:kern w:val="2"/>
          <w:sz w:val="32"/>
          <w:szCs w:val="32"/>
          <w:highlight w:val="none"/>
        </w:rPr>
      </w:pPr>
      <w:r>
        <w:rPr>
          <w:rFonts w:hint="eastAsia" w:ascii="仿宋_GB2312" w:hAnsi="仿宋" w:eastAsia="仿宋_GB2312" w:cs="仿宋_GB2312"/>
          <w:color w:val="auto"/>
          <w:kern w:val="2"/>
          <w:sz w:val="32"/>
          <w:szCs w:val="32"/>
          <w:highlight w:val="none"/>
          <w:lang w:val="en-US" w:eastAsia="zh-CN" w:bidi="ar"/>
        </w:rPr>
        <w:t>5.涉及交通意外的，需提供交通安全部门提供的意外事故证明；</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6.申请领取身故互助金时，会员直系亲属应提供国家卫生行政部门认定的医疗机构、公安部门或其他相关机构出具的会员死亡证明，同时提供户籍管理机关的户口注销证明或相关机构提供的火化证明；</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7.其他必要文件或证明；</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8.会员自意外事故发生之日起, 会员、直系亲属两年内不向办事处提交互助金申领手续的，视同为放弃申请互助金的权利。</w:t>
      </w:r>
    </w:p>
    <w:p w14:paraId="1784B9A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_GB2312"/>
          <w:color w:val="auto"/>
          <w:kern w:val="2"/>
          <w:sz w:val="32"/>
          <w:szCs w:val="32"/>
          <w:highlight w:val="none"/>
          <w:lang w:val="en-US" w:eastAsia="zh-CN" w:bidi="ar"/>
        </w:rPr>
      </w:pPr>
      <w:r>
        <w:rPr>
          <w:rFonts w:hint="eastAsia" w:ascii="黑体" w:hAnsi="宋体" w:eastAsia="黑体" w:cs="黑体"/>
          <w:color w:val="auto"/>
          <w:kern w:val="2"/>
          <w:sz w:val="32"/>
          <w:szCs w:val="32"/>
          <w:highlight w:val="none"/>
          <w:lang w:val="en-US" w:eastAsia="zh-CN" w:bidi="ar"/>
        </w:rPr>
        <w:t>第八条 其他约定事项</w:t>
      </w:r>
      <w:r>
        <w:rPr>
          <w:rFonts w:hint="eastAsia" w:ascii="黑体" w:hAnsi="宋体" w:eastAsia="黑体" w:cs="Times New Roman"/>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1.</w:t>
      </w:r>
      <w:r>
        <w:rPr>
          <w:rFonts w:hint="eastAsia" w:ascii="仿宋_GB2312" w:hAnsi="仿宋" w:eastAsia="仿宋_GB2312" w:cs="仿宋_GB2312"/>
          <w:color w:val="auto"/>
          <w:kern w:val="2"/>
          <w:sz w:val="32"/>
          <w:szCs w:val="32"/>
          <w:highlight w:val="none"/>
          <w:lang w:val="en-US" w:eastAsia="zh-CN" w:bidi="ar"/>
        </w:rPr>
        <w:t>本活动所指的意外伤害是指以外来的、突发的、非本意的和非疾病的客观事件为直接且单独的原因致使身体受到的伤害。</w:t>
      </w:r>
    </w:p>
    <w:p w14:paraId="1AD9A2B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_GB2312"/>
          <w:color w:val="auto"/>
          <w:kern w:val="2"/>
          <w:sz w:val="32"/>
          <w:szCs w:val="32"/>
          <w:highlight w:val="none"/>
          <w:lang w:val="en-US" w:eastAsia="zh-CN" w:bidi="ar"/>
        </w:rPr>
      </w:pPr>
      <w:r>
        <w:rPr>
          <w:rFonts w:hint="eastAsia" w:ascii="仿宋_GB2312" w:hAnsi="仿宋" w:eastAsia="仿宋_GB2312" w:cs="仿宋_GB2312"/>
          <w:color w:val="auto"/>
          <w:kern w:val="2"/>
          <w:sz w:val="32"/>
          <w:szCs w:val="32"/>
          <w:highlight w:val="none"/>
          <w:lang w:val="en-US" w:eastAsia="zh-CN" w:bidi="ar"/>
        </w:rPr>
        <w:t>2.本活动所指“医院”是指经中华人民共和国卫生部门评审确定的二级以上（含二级）的公立医院，但不包括主要作为诊所、康复、护理、休养、静养、戒酒、戒毒等或类似的医疗机构。该医院必须具有符合国家有关医院管理规则设置标准的医疗设备，且全天二十四小时有合格医师及护士驻院提供医疗及护理服务。</w:t>
      </w:r>
    </w:p>
    <w:p w14:paraId="2239F50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Calibri" w:eastAsia="仿宋_GB2312" w:cs="仿宋_GB2312"/>
          <w:color w:val="auto"/>
          <w:kern w:val="2"/>
          <w:sz w:val="32"/>
          <w:szCs w:val="32"/>
          <w:highlight w:val="none"/>
          <w:lang w:val="en-US" w:eastAsia="zh-CN" w:bidi="ar"/>
        </w:rPr>
      </w:pPr>
      <w:r>
        <w:rPr>
          <w:rFonts w:hint="eastAsia" w:ascii="仿宋_GB2312" w:hAnsi="仿宋" w:eastAsia="仿宋_GB2312" w:cs="仿宋_GB2312"/>
          <w:color w:val="auto"/>
          <w:kern w:val="2"/>
          <w:sz w:val="32"/>
          <w:szCs w:val="32"/>
          <w:highlight w:val="none"/>
          <w:lang w:val="en-US" w:eastAsia="zh-CN" w:bidi="ar"/>
        </w:rPr>
        <w:t>3.猝死是指由潜在疾病、身体机能障碍或其他非外来性原因所导致的、在出现急性症状后发生的突然死亡，以医院的诊断或公安、司法机关的鉴定为准。</w:t>
      </w:r>
    </w:p>
    <w:p w14:paraId="3A3E914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_GB2312"/>
          <w:color w:val="auto"/>
          <w:kern w:val="2"/>
          <w:sz w:val="32"/>
          <w:szCs w:val="32"/>
          <w:highlight w:val="none"/>
          <w:lang w:val="en-US" w:eastAsia="zh-CN" w:bidi="ar"/>
        </w:rPr>
        <w:t>4.对本活动执行中有关内容发生争议，由中国职工保险互助会专家委员会进行最终裁定。</w:t>
      </w:r>
    </w:p>
    <w:p w14:paraId="3B8750A9">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仿宋" w:eastAsia="仿宋_GB2312" w:cs="仿宋"/>
          <w:color w:val="auto"/>
          <w:kern w:val="2"/>
          <w:sz w:val="32"/>
          <w:szCs w:val="32"/>
          <w:highlight w:val="none"/>
          <w:lang w:val="en-US" w:eastAsia="zh-CN" w:bidi="ar"/>
        </w:rPr>
      </w:pPr>
      <w:r>
        <w:rPr>
          <w:rFonts w:hint="eastAsia" w:ascii="仿宋_GB2312" w:hAnsi="仿宋" w:eastAsia="仿宋_GB2312" w:cs="仿宋"/>
          <w:color w:val="auto"/>
          <w:kern w:val="2"/>
          <w:sz w:val="32"/>
          <w:szCs w:val="32"/>
          <w:highlight w:val="none"/>
          <w:lang w:val="en-US" w:eastAsia="zh-CN" w:bidi="ar"/>
        </w:rPr>
        <w:t xml:space="preserve"> </w:t>
      </w:r>
    </w:p>
    <w:p w14:paraId="66A27623">
      <w:pPr>
        <w:keepNext w:val="0"/>
        <w:keepLines w:val="0"/>
        <w:widowControl w:val="0"/>
        <w:suppressLineNumbers w:val="0"/>
        <w:autoSpaceDE w:val="0"/>
        <w:autoSpaceDN/>
        <w:spacing w:before="0" w:beforeAutospacing="0" w:after="0" w:afterAutospacing="0" w:line="560" w:lineRule="exact"/>
        <w:ind w:right="0"/>
        <w:jc w:val="both"/>
        <w:rPr>
          <w:rFonts w:hint="eastAsia" w:ascii="仿宋_GB2312" w:hAnsi="仿宋" w:eastAsia="仿宋_GB2312" w:cs="仿宋"/>
          <w:color w:val="auto"/>
          <w:kern w:val="2"/>
          <w:sz w:val="32"/>
          <w:szCs w:val="32"/>
          <w:highlight w:val="none"/>
          <w:lang w:val="en-US" w:eastAsia="zh-CN" w:bidi="ar"/>
        </w:rPr>
      </w:pPr>
    </w:p>
    <w:p w14:paraId="1466EE97">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仿宋" w:eastAsia="仿宋_GB2312" w:cs="仿宋"/>
          <w:color w:val="auto"/>
          <w:kern w:val="2"/>
          <w:sz w:val="32"/>
          <w:szCs w:val="32"/>
          <w:highlight w:val="none"/>
        </w:rPr>
      </w:pPr>
      <w:r>
        <w:rPr>
          <w:rFonts w:hint="eastAsia" w:ascii="仿宋_GB2312" w:hAnsi="仿宋" w:eastAsia="仿宋_GB2312" w:cs="仿宋_GB2312"/>
          <w:color w:val="auto"/>
          <w:kern w:val="2"/>
          <w:sz w:val="32"/>
          <w:szCs w:val="32"/>
          <w:highlight w:val="none"/>
          <w:lang w:val="en-US" w:eastAsia="zh-CN" w:bidi="ar"/>
        </w:rPr>
        <w:t>附表：在职职工短期意外伤害互助保障活动保障待遇</w:t>
      </w:r>
    </w:p>
    <w:p w14:paraId="7572E2CE">
      <w:pPr>
        <w:keepNext w:val="0"/>
        <w:keepLines w:val="0"/>
        <w:widowControl w:val="0"/>
        <w:suppressLineNumbers w:val="0"/>
        <w:autoSpaceDE w:val="0"/>
        <w:autoSpaceDN/>
        <w:spacing w:before="0" w:beforeAutospacing="0" w:after="0" w:afterAutospacing="0" w:line="560" w:lineRule="exact"/>
        <w:ind w:left="0" w:right="0" w:firstLine="640" w:firstLineChars="200"/>
        <w:jc w:val="right"/>
        <w:rPr>
          <w:rFonts w:hint="eastAsia" w:ascii="仿宋_GB2312" w:hAnsi="仿宋" w:eastAsia="仿宋_GB2312" w:cs="仿宋"/>
          <w:color w:val="auto"/>
          <w:kern w:val="2"/>
          <w:sz w:val="32"/>
          <w:szCs w:val="32"/>
          <w:highlight w:val="none"/>
        </w:rPr>
      </w:pPr>
      <w:r>
        <w:rPr>
          <w:rFonts w:hint="eastAsia" w:ascii="仿宋_GB2312" w:hAnsi="仿宋" w:eastAsia="仿宋_GB2312" w:cs="仿宋_GB2312"/>
          <w:color w:val="auto"/>
          <w:kern w:val="2"/>
          <w:sz w:val="32"/>
          <w:szCs w:val="32"/>
          <w:highlight w:val="none"/>
          <w:lang w:val="en-US" w:eastAsia="zh-CN" w:bidi="ar"/>
        </w:rPr>
        <w:t>单位：</w:t>
      </w:r>
      <w:r>
        <w:rPr>
          <w:rFonts w:hint="eastAsia" w:ascii="仿宋_GB2312" w:hAnsi="仿宋" w:eastAsia="仿宋_GB2312" w:cs="仿宋_GB2312"/>
          <w:color w:val="auto"/>
          <w:kern w:val="2"/>
          <w:sz w:val="28"/>
          <w:szCs w:val="28"/>
          <w:highlight w:val="none"/>
          <w:lang w:val="en-US" w:eastAsia="zh-CN" w:bidi="ar"/>
        </w:rPr>
        <w:t>元</w:t>
      </w:r>
      <w:r>
        <w:rPr>
          <w:rFonts w:hint="eastAsia" w:ascii="仿宋_GB2312" w:hAnsi="仿宋" w:eastAsia="仿宋_GB2312" w:cs="仿宋"/>
          <w:color w:val="auto"/>
          <w:kern w:val="2"/>
          <w:sz w:val="28"/>
          <w:szCs w:val="28"/>
          <w:highlight w:val="none"/>
          <w:lang w:val="en-US" w:eastAsia="zh-CN" w:bidi="ar"/>
        </w:rPr>
        <w:t>/份</w:t>
      </w:r>
    </w:p>
    <w:tbl>
      <w:tblPr>
        <w:tblStyle w:val="5"/>
        <w:tblW w:w="8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97"/>
        <w:gridCol w:w="2137"/>
        <w:gridCol w:w="1515"/>
        <w:gridCol w:w="1395"/>
        <w:gridCol w:w="1425"/>
        <w:gridCol w:w="1230"/>
      </w:tblGrid>
      <w:tr w14:paraId="62AED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8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CE1815D">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会费标准</w:t>
            </w:r>
          </w:p>
        </w:tc>
        <w:tc>
          <w:tcPr>
            <w:tcW w:w="21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1AEC393">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保障期间</w:t>
            </w:r>
          </w:p>
        </w:tc>
        <w:tc>
          <w:tcPr>
            <w:tcW w:w="556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5A9F2B31">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最高保障待遇</w:t>
            </w:r>
          </w:p>
        </w:tc>
      </w:tr>
      <w:tr w14:paraId="21BE6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53F2972">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c>
          <w:tcPr>
            <w:tcW w:w="21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215E8E8">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c>
          <w:tcPr>
            <w:tcW w:w="1515" w:type="dxa"/>
            <w:tcBorders>
              <w:top w:val="single" w:color="auto" w:sz="4" w:space="0"/>
              <w:left w:val="single" w:color="auto" w:sz="4" w:space="0"/>
              <w:bottom w:val="single" w:color="auto" w:sz="4" w:space="0"/>
              <w:right w:val="single" w:color="auto" w:sz="4" w:space="0"/>
            </w:tcBorders>
            <w:shd w:val="clear" w:color="auto" w:fill="auto"/>
            <w:vAlign w:val="center"/>
          </w:tcPr>
          <w:p w14:paraId="6CA7EE66">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_GB2312"/>
                <w:color w:val="auto"/>
                <w:kern w:val="2"/>
                <w:sz w:val="28"/>
                <w:szCs w:val="28"/>
                <w:highlight w:val="none"/>
                <w:lang w:val="en-US" w:eastAsia="zh-CN" w:bidi="ar"/>
              </w:rPr>
            </w:pPr>
            <w:r>
              <w:rPr>
                <w:rFonts w:hint="eastAsia" w:ascii="仿宋_GB2312" w:hAnsi="仿宋" w:eastAsia="仿宋_GB2312" w:cs="仿宋_GB2312"/>
                <w:color w:val="auto"/>
                <w:kern w:val="2"/>
                <w:sz w:val="28"/>
                <w:szCs w:val="28"/>
                <w:highlight w:val="none"/>
                <w:lang w:val="en-US" w:eastAsia="zh-CN" w:bidi="ar"/>
              </w:rPr>
              <w:t>意外医疗费用报销</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14:paraId="1EE3F70C">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意外伤残</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285320E2">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意外身故</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14:paraId="057C1205">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猝死</w:t>
            </w:r>
          </w:p>
        </w:tc>
      </w:tr>
      <w:tr w14:paraId="2319C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16B20729">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5元</w:t>
            </w:r>
          </w:p>
        </w:tc>
        <w:tc>
          <w:tcPr>
            <w:tcW w:w="2137" w:type="dxa"/>
            <w:tcBorders>
              <w:top w:val="single" w:color="auto" w:sz="4" w:space="0"/>
              <w:left w:val="single" w:color="auto" w:sz="4" w:space="0"/>
              <w:bottom w:val="single" w:color="auto" w:sz="4" w:space="0"/>
              <w:right w:val="single" w:color="auto" w:sz="4" w:space="0"/>
            </w:tcBorders>
            <w:shd w:val="clear" w:color="auto" w:fill="auto"/>
            <w:vAlign w:val="center"/>
          </w:tcPr>
          <w:p w14:paraId="12223CCE">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5天（含）以下</w:t>
            </w:r>
          </w:p>
        </w:tc>
        <w:tc>
          <w:tcPr>
            <w:tcW w:w="1515" w:type="dxa"/>
            <w:vMerge w:val="restart"/>
            <w:tcBorders>
              <w:top w:val="nil"/>
              <w:left w:val="single" w:color="auto" w:sz="4" w:space="0"/>
              <w:right w:val="single" w:color="auto" w:sz="4" w:space="0"/>
            </w:tcBorders>
            <w:shd w:val="clear" w:color="auto" w:fill="auto"/>
            <w:vAlign w:val="center"/>
          </w:tcPr>
          <w:p w14:paraId="298BF9E2">
            <w:pPr>
              <w:keepNext w:val="0"/>
              <w:keepLines w:val="0"/>
              <w:widowControl w:val="0"/>
              <w:suppressLineNumbers w:val="0"/>
              <w:autoSpaceDE w:val="0"/>
              <w:autoSpaceDN/>
              <w:spacing w:before="0" w:beforeAutospacing="0" w:after="0" w:afterAutospacing="0" w:line="560" w:lineRule="exact"/>
              <w:ind w:left="0" w:right="0"/>
              <w:jc w:val="center"/>
              <w:rPr>
                <w:rFonts w:hint="default" w:ascii="仿宋_GB2312" w:hAnsi="仿宋" w:eastAsia="仿宋_GB2312" w:cs="仿宋"/>
                <w:color w:val="auto"/>
                <w:kern w:val="2"/>
                <w:sz w:val="28"/>
                <w:szCs w:val="28"/>
                <w:highlight w:val="none"/>
                <w:lang w:val="en-US" w:eastAsia="zh-CN" w:bidi="ar"/>
              </w:rPr>
            </w:pPr>
            <w:r>
              <w:rPr>
                <w:rFonts w:hint="eastAsia" w:ascii="仿宋_GB2312" w:hAnsi="仿宋" w:eastAsia="仿宋_GB2312" w:cs="仿宋"/>
                <w:color w:val="auto"/>
                <w:kern w:val="2"/>
                <w:sz w:val="28"/>
                <w:szCs w:val="28"/>
                <w:highlight w:val="none"/>
                <w:lang w:val="en-US" w:eastAsia="zh-CN" w:bidi="ar"/>
              </w:rPr>
              <w:t>5,000</w:t>
            </w:r>
          </w:p>
        </w:tc>
        <w:tc>
          <w:tcPr>
            <w:tcW w:w="1395" w:type="dxa"/>
            <w:vMerge w:val="restart"/>
            <w:tcBorders>
              <w:top w:val="nil"/>
              <w:left w:val="single" w:color="auto" w:sz="4" w:space="0"/>
              <w:bottom w:val="single" w:color="auto" w:sz="4" w:space="0"/>
              <w:right w:val="single" w:color="auto" w:sz="4" w:space="0"/>
            </w:tcBorders>
            <w:shd w:val="clear" w:color="auto" w:fill="auto"/>
            <w:vAlign w:val="center"/>
          </w:tcPr>
          <w:p w14:paraId="00545C2B">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
                <w:color w:val="auto"/>
                <w:kern w:val="2"/>
                <w:sz w:val="28"/>
                <w:szCs w:val="28"/>
                <w:highlight w:val="none"/>
                <w:lang w:val="en-US" w:eastAsia="zh-CN" w:bidi="ar"/>
              </w:rPr>
              <w:t>1</w:t>
            </w:r>
            <w:r>
              <w:rPr>
                <w:rFonts w:hint="eastAsia" w:ascii="仿宋_GB2312" w:hAnsi="仿宋" w:eastAsia="仿宋_GB2312" w:cs="仿宋_GB2312"/>
                <w:color w:val="auto"/>
                <w:kern w:val="2"/>
                <w:sz w:val="28"/>
                <w:szCs w:val="28"/>
                <w:highlight w:val="none"/>
                <w:lang w:val="en-US" w:eastAsia="zh-CN" w:bidi="ar"/>
              </w:rPr>
              <w:t>0</w:t>
            </w:r>
            <w:r>
              <w:rPr>
                <w:rFonts w:hint="eastAsia" w:ascii="仿宋_GB2312" w:hAnsi="仿宋" w:eastAsia="仿宋_GB2312" w:cs="仿宋"/>
                <w:color w:val="auto"/>
                <w:kern w:val="2"/>
                <w:sz w:val="28"/>
                <w:szCs w:val="28"/>
                <w:highlight w:val="none"/>
                <w:lang w:val="en-US" w:eastAsia="zh-CN" w:bidi="ar"/>
              </w:rPr>
              <w:t>0,000</w:t>
            </w:r>
          </w:p>
        </w:tc>
        <w:tc>
          <w:tcPr>
            <w:tcW w:w="1425" w:type="dxa"/>
            <w:vMerge w:val="restart"/>
            <w:tcBorders>
              <w:top w:val="nil"/>
              <w:left w:val="single" w:color="auto" w:sz="4" w:space="0"/>
              <w:bottom w:val="single" w:color="auto" w:sz="4" w:space="0"/>
              <w:right w:val="single" w:color="auto" w:sz="4" w:space="0"/>
            </w:tcBorders>
            <w:shd w:val="clear" w:color="auto" w:fill="auto"/>
            <w:vAlign w:val="center"/>
          </w:tcPr>
          <w:p w14:paraId="24BA4451">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
                <w:color w:val="auto"/>
                <w:kern w:val="2"/>
                <w:sz w:val="28"/>
                <w:szCs w:val="28"/>
                <w:highlight w:val="none"/>
                <w:lang w:val="en-US" w:eastAsia="zh-CN" w:bidi="ar"/>
              </w:rPr>
              <w:t>1</w:t>
            </w:r>
            <w:r>
              <w:rPr>
                <w:rFonts w:hint="eastAsia" w:ascii="仿宋_GB2312" w:hAnsi="仿宋" w:eastAsia="仿宋_GB2312" w:cs="仿宋_GB2312"/>
                <w:color w:val="auto"/>
                <w:kern w:val="2"/>
                <w:sz w:val="28"/>
                <w:szCs w:val="28"/>
                <w:highlight w:val="none"/>
                <w:lang w:val="en-US" w:eastAsia="zh-CN" w:bidi="ar"/>
              </w:rPr>
              <w:t>0</w:t>
            </w:r>
            <w:r>
              <w:rPr>
                <w:rFonts w:hint="eastAsia" w:ascii="仿宋_GB2312" w:hAnsi="仿宋" w:eastAsia="仿宋_GB2312" w:cs="仿宋"/>
                <w:color w:val="auto"/>
                <w:kern w:val="2"/>
                <w:sz w:val="28"/>
                <w:szCs w:val="28"/>
                <w:highlight w:val="none"/>
                <w:lang w:val="en-US" w:eastAsia="zh-CN" w:bidi="ar"/>
              </w:rPr>
              <w:t>0,000</w:t>
            </w:r>
          </w:p>
        </w:tc>
        <w:tc>
          <w:tcPr>
            <w:tcW w:w="1230" w:type="dxa"/>
            <w:vMerge w:val="restart"/>
            <w:tcBorders>
              <w:top w:val="nil"/>
              <w:left w:val="single" w:color="auto" w:sz="4" w:space="0"/>
              <w:bottom w:val="single" w:color="auto" w:sz="4" w:space="0"/>
              <w:right w:val="single" w:color="auto" w:sz="4" w:space="0"/>
            </w:tcBorders>
            <w:shd w:val="clear" w:color="auto" w:fill="auto"/>
            <w:vAlign w:val="center"/>
          </w:tcPr>
          <w:p w14:paraId="1D6FB785">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
                <w:color w:val="auto"/>
                <w:kern w:val="2"/>
                <w:sz w:val="28"/>
                <w:szCs w:val="28"/>
                <w:highlight w:val="none"/>
                <w:lang w:val="en-US" w:eastAsia="zh-CN" w:bidi="ar"/>
              </w:rPr>
              <w:t>50,000</w:t>
            </w:r>
          </w:p>
        </w:tc>
      </w:tr>
      <w:tr w14:paraId="61068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58239A7C">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10元</w:t>
            </w:r>
          </w:p>
        </w:tc>
        <w:tc>
          <w:tcPr>
            <w:tcW w:w="2137" w:type="dxa"/>
            <w:tcBorders>
              <w:top w:val="single" w:color="auto" w:sz="4" w:space="0"/>
              <w:left w:val="single" w:color="auto" w:sz="4" w:space="0"/>
              <w:bottom w:val="single" w:color="auto" w:sz="4" w:space="0"/>
              <w:right w:val="single" w:color="auto" w:sz="4" w:space="0"/>
            </w:tcBorders>
            <w:shd w:val="clear" w:color="auto" w:fill="auto"/>
            <w:vAlign w:val="center"/>
          </w:tcPr>
          <w:p w14:paraId="382926EA">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5至10天（含）</w:t>
            </w:r>
          </w:p>
        </w:tc>
        <w:tc>
          <w:tcPr>
            <w:tcW w:w="1515" w:type="dxa"/>
            <w:vMerge w:val="continue"/>
            <w:tcBorders>
              <w:left w:val="single" w:color="auto" w:sz="4" w:space="0"/>
              <w:right w:val="single" w:color="auto" w:sz="4" w:space="0"/>
            </w:tcBorders>
            <w:shd w:val="clear" w:color="auto" w:fill="auto"/>
            <w:vAlign w:val="center"/>
          </w:tcPr>
          <w:p w14:paraId="42307C76">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c>
          <w:tcPr>
            <w:tcW w:w="1395" w:type="dxa"/>
            <w:vMerge w:val="continue"/>
            <w:tcBorders>
              <w:top w:val="nil"/>
              <w:left w:val="single" w:color="auto" w:sz="4" w:space="0"/>
              <w:bottom w:val="single" w:color="auto" w:sz="4" w:space="0"/>
              <w:right w:val="single" w:color="auto" w:sz="4" w:space="0"/>
            </w:tcBorders>
            <w:shd w:val="clear" w:color="auto" w:fill="auto"/>
            <w:vAlign w:val="center"/>
          </w:tcPr>
          <w:p w14:paraId="66C1C05E">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c>
          <w:tcPr>
            <w:tcW w:w="1425" w:type="dxa"/>
            <w:vMerge w:val="continue"/>
            <w:tcBorders>
              <w:top w:val="nil"/>
              <w:left w:val="single" w:color="auto" w:sz="4" w:space="0"/>
              <w:bottom w:val="single" w:color="auto" w:sz="4" w:space="0"/>
              <w:right w:val="single" w:color="auto" w:sz="4" w:space="0"/>
            </w:tcBorders>
            <w:shd w:val="clear" w:color="auto" w:fill="auto"/>
            <w:vAlign w:val="center"/>
          </w:tcPr>
          <w:p w14:paraId="71DC0403">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c>
          <w:tcPr>
            <w:tcW w:w="1230" w:type="dxa"/>
            <w:vMerge w:val="continue"/>
            <w:tcBorders>
              <w:top w:val="nil"/>
              <w:left w:val="single" w:color="auto" w:sz="4" w:space="0"/>
              <w:bottom w:val="single" w:color="auto" w:sz="4" w:space="0"/>
              <w:right w:val="single" w:color="auto" w:sz="4" w:space="0"/>
            </w:tcBorders>
            <w:shd w:val="clear" w:color="auto" w:fill="auto"/>
            <w:vAlign w:val="center"/>
          </w:tcPr>
          <w:p w14:paraId="09EB647C">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r>
      <w:tr w14:paraId="33118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08D0CBEA">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15元</w:t>
            </w:r>
          </w:p>
        </w:tc>
        <w:tc>
          <w:tcPr>
            <w:tcW w:w="2137" w:type="dxa"/>
            <w:tcBorders>
              <w:top w:val="single" w:color="auto" w:sz="4" w:space="0"/>
              <w:left w:val="single" w:color="auto" w:sz="4" w:space="0"/>
              <w:bottom w:val="single" w:color="auto" w:sz="4" w:space="0"/>
              <w:right w:val="single" w:color="auto" w:sz="4" w:space="0"/>
            </w:tcBorders>
            <w:shd w:val="clear" w:color="auto" w:fill="auto"/>
            <w:vAlign w:val="center"/>
          </w:tcPr>
          <w:p w14:paraId="0EBC00CF">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10至30天（含）</w:t>
            </w:r>
          </w:p>
        </w:tc>
        <w:tc>
          <w:tcPr>
            <w:tcW w:w="1515" w:type="dxa"/>
            <w:vMerge w:val="continue"/>
            <w:tcBorders>
              <w:left w:val="single" w:color="auto" w:sz="4" w:space="0"/>
              <w:bottom w:val="single" w:color="auto" w:sz="4" w:space="0"/>
              <w:right w:val="single" w:color="auto" w:sz="4" w:space="0"/>
            </w:tcBorders>
            <w:shd w:val="clear" w:color="auto" w:fill="auto"/>
            <w:vAlign w:val="center"/>
          </w:tcPr>
          <w:p w14:paraId="3C336CA7">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c>
          <w:tcPr>
            <w:tcW w:w="1395" w:type="dxa"/>
            <w:vMerge w:val="continue"/>
            <w:tcBorders>
              <w:top w:val="nil"/>
              <w:left w:val="single" w:color="auto" w:sz="4" w:space="0"/>
              <w:bottom w:val="single" w:color="auto" w:sz="4" w:space="0"/>
              <w:right w:val="single" w:color="auto" w:sz="4" w:space="0"/>
            </w:tcBorders>
            <w:shd w:val="clear" w:color="auto" w:fill="auto"/>
            <w:vAlign w:val="center"/>
          </w:tcPr>
          <w:p w14:paraId="3FDD39A7">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c>
          <w:tcPr>
            <w:tcW w:w="1425" w:type="dxa"/>
            <w:vMerge w:val="continue"/>
            <w:tcBorders>
              <w:top w:val="nil"/>
              <w:left w:val="single" w:color="auto" w:sz="4" w:space="0"/>
              <w:bottom w:val="single" w:color="auto" w:sz="4" w:space="0"/>
              <w:right w:val="single" w:color="auto" w:sz="4" w:space="0"/>
            </w:tcBorders>
            <w:shd w:val="clear" w:color="auto" w:fill="auto"/>
            <w:vAlign w:val="center"/>
          </w:tcPr>
          <w:p w14:paraId="752410B7">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c>
          <w:tcPr>
            <w:tcW w:w="1230" w:type="dxa"/>
            <w:vMerge w:val="continue"/>
            <w:tcBorders>
              <w:top w:val="nil"/>
              <w:left w:val="single" w:color="auto" w:sz="4" w:space="0"/>
              <w:bottom w:val="single" w:color="auto" w:sz="4" w:space="0"/>
              <w:right w:val="single" w:color="auto" w:sz="4" w:space="0"/>
            </w:tcBorders>
            <w:shd w:val="clear" w:color="auto" w:fill="auto"/>
            <w:vAlign w:val="center"/>
          </w:tcPr>
          <w:p w14:paraId="20279A18">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r>
    </w:tbl>
    <w:p w14:paraId="7494FBC7">
      <w:pPr>
        <w:keepNext w:val="0"/>
        <w:keepLines w:val="0"/>
        <w:widowControl w:val="0"/>
        <w:suppressLineNumbers w:val="0"/>
        <w:autoSpaceDE w:val="0"/>
        <w:autoSpaceDN/>
        <w:spacing w:before="0" w:beforeAutospacing="0" w:after="0" w:afterAutospacing="0" w:line="560" w:lineRule="exact"/>
        <w:ind w:left="0" w:right="0"/>
        <w:jc w:val="both"/>
        <w:rPr>
          <w:rFonts w:hint="default" w:ascii="Calibri" w:hAnsi="Calibri" w:cs="Times New Roman"/>
          <w:color w:val="auto"/>
          <w:kern w:val="2"/>
          <w:sz w:val="21"/>
          <w:szCs w:val="21"/>
          <w:highlight w:val="none"/>
        </w:rPr>
      </w:pPr>
    </w:p>
    <w:p w14:paraId="3A28BD6E">
      <w:pPr>
        <w:rPr>
          <w:color w:val="auto"/>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auto"/>
    <w:pitch w:val="default"/>
    <w:sig w:usb0="00000000" w:usb1="00000000" w:usb2="00082016"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7FE13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82E2CE">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E82E2CE">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2148B1"/>
    <w:rsid w:val="029E22AC"/>
    <w:rsid w:val="05694CC5"/>
    <w:rsid w:val="05EB502B"/>
    <w:rsid w:val="08A234FA"/>
    <w:rsid w:val="08BF46E8"/>
    <w:rsid w:val="0906705B"/>
    <w:rsid w:val="0A1A0A7E"/>
    <w:rsid w:val="0AA2244C"/>
    <w:rsid w:val="0BC80EBD"/>
    <w:rsid w:val="0DB20D09"/>
    <w:rsid w:val="1122192A"/>
    <w:rsid w:val="17FC16A2"/>
    <w:rsid w:val="1C8F7A67"/>
    <w:rsid w:val="1D742415"/>
    <w:rsid w:val="1EE76CC2"/>
    <w:rsid w:val="20051698"/>
    <w:rsid w:val="21464F13"/>
    <w:rsid w:val="226F16EE"/>
    <w:rsid w:val="22864BF9"/>
    <w:rsid w:val="24CF37C7"/>
    <w:rsid w:val="254623A4"/>
    <w:rsid w:val="28102647"/>
    <w:rsid w:val="2DD64A42"/>
    <w:rsid w:val="31D93EA8"/>
    <w:rsid w:val="32BD590E"/>
    <w:rsid w:val="331E63D5"/>
    <w:rsid w:val="35343BEC"/>
    <w:rsid w:val="355A019C"/>
    <w:rsid w:val="369101DB"/>
    <w:rsid w:val="37023AE6"/>
    <w:rsid w:val="37D261A1"/>
    <w:rsid w:val="39DD52FC"/>
    <w:rsid w:val="3A190F11"/>
    <w:rsid w:val="3B15371E"/>
    <w:rsid w:val="3D600441"/>
    <w:rsid w:val="3E174AB8"/>
    <w:rsid w:val="3E2E7F79"/>
    <w:rsid w:val="3E5C73DF"/>
    <w:rsid w:val="3E8D3D80"/>
    <w:rsid w:val="3F1A581A"/>
    <w:rsid w:val="40970E8F"/>
    <w:rsid w:val="429653B5"/>
    <w:rsid w:val="42C237B5"/>
    <w:rsid w:val="433575D3"/>
    <w:rsid w:val="47887CE4"/>
    <w:rsid w:val="47D64731"/>
    <w:rsid w:val="4B613D62"/>
    <w:rsid w:val="4B822685"/>
    <w:rsid w:val="4E2D79CD"/>
    <w:rsid w:val="4E4B1352"/>
    <w:rsid w:val="4F4C624C"/>
    <w:rsid w:val="50212024"/>
    <w:rsid w:val="506C6001"/>
    <w:rsid w:val="518B6458"/>
    <w:rsid w:val="529E2B3D"/>
    <w:rsid w:val="53ED0CFD"/>
    <w:rsid w:val="56824C41"/>
    <w:rsid w:val="56BF7C5F"/>
    <w:rsid w:val="57E41FC0"/>
    <w:rsid w:val="58136BF6"/>
    <w:rsid w:val="59065510"/>
    <w:rsid w:val="5A1C55D0"/>
    <w:rsid w:val="5DB80623"/>
    <w:rsid w:val="609A6D95"/>
    <w:rsid w:val="60D535ED"/>
    <w:rsid w:val="6105633A"/>
    <w:rsid w:val="620458E7"/>
    <w:rsid w:val="62784DE0"/>
    <w:rsid w:val="64C74106"/>
    <w:rsid w:val="64FF6ADE"/>
    <w:rsid w:val="65F43F54"/>
    <w:rsid w:val="66E45B2F"/>
    <w:rsid w:val="691D5CAF"/>
    <w:rsid w:val="6948662A"/>
    <w:rsid w:val="6DA34455"/>
    <w:rsid w:val="6F86402D"/>
    <w:rsid w:val="7069494C"/>
    <w:rsid w:val="71CF4C44"/>
    <w:rsid w:val="71D82267"/>
    <w:rsid w:val="74BE1A94"/>
    <w:rsid w:val="75D54ADF"/>
    <w:rsid w:val="76981EF1"/>
    <w:rsid w:val="79144124"/>
    <w:rsid w:val="791E3BDE"/>
    <w:rsid w:val="79FA7697"/>
    <w:rsid w:val="7AAB3166"/>
    <w:rsid w:val="7CC95D12"/>
    <w:rsid w:val="7EA65BD8"/>
    <w:rsid w:val="7F3467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3051</Words>
  <Characters>3193</Characters>
  <Lines>0</Lines>
  <Paragraphs>0</Paragraphs>
  <TotalTime>2</TotalTime>
  <ScaleCrop>false</ScaleCrop>
  <LinksUpToDate>false</LinksUpToDate>
  <CharactersWithSpaces>3341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2024-09-25T08:04:00Z</dcterms:created>
  <dc:creator>hp</dc:creator>
  <cp:lastModifiedBy>Administrator</cp:lastModifiedBy>
  <cp:lastPrinted>2024-11-01T01:29:00Z</cp:lastPrinted>
  <dcterms:modified xsi:type="dcterms:W3CDTF">2025-03-12T07:10:09Z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CB17BAE327DA4A089A494FB1BDC2B0ED_13</vt:lpwstr>
  </property>
</Properties>
</file>