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hAnsi="黑体" w:eastAsia="黑体"/>
          <w:color w:val="000000"/>
          <w:sz w:val="32"/>
          <w:szCs w:val="32"/>
        </w:rPr>
        <w:t>附件</w:t>
      </w:r>
      <w:r>
        <w:rPr>
          <w:rFonts w:hint="eastAsia" w:hAnsi="黑体" w:eastAsia="黑体"/>
          <w:color w:val="000000"/>
          <w:sz w:val="32"/>
          <w:szCs w:val="32"/>
          <w:lang w:val="en-US" w:eastAsia="zh-CN"/>
        </w:rPr>
        <w:t>1</w:t>
      </w:r>
    </w:p>
    <w:p>
      <w:pPr>
        <w:pStyle w:val="2"/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2023年“沂蒙最美职工”拟定人选名单</w:t>
      </w:r>
    </w:p>
    <w:p>
      <w:pPr>
        <w:spacing w:line="560" w:lineRule="exact"/>
        <w:jc w:val="center"/>
        <w:rPr>
          <w:rFonts w:eastAsia="楷体_GB2312"/>
          <w:color w:val="000000"/>
          <w:sz w:val="32"/>
          <w:szCs w:val="32"/>
        </w:rPr>
      </w:pP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人</w:t>
      </w:r>
      <w:r>
        <w:rPr>
          <w:rFonts w:hint="eastAsia" w:eastAsia="楷体_GB2312"/>
          <w:color w:val="000000"/>
          <w:sz w:val="32"/>
          <w:szCs w:val="32"/>
        </w:rPr>
        <w:t>）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411" w:type="dxa"/>
        <w:tblInd w:w="-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925"/>
        <w:gridCol w:w="7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李  拓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临沂公交集团北城分公司G1路驾驶员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庄  园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临沂市养老事业发展服务中心主管护师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彭  斌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临沂市自然资源和规划局测绘院重点项目推进组组长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刘相蛟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费县人民医院呼吸与危重症医学科副主任（主持工作）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孙  凯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临沂市柳琴戏传承保护中心柳琴科科长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王言翠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莒南县生活垃圾处理厂职工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朱文杰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临沂市政集团有限公司一公司技术负责人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赵  君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临沂市中级人民法院刑二庭三级员额法官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张  艳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沂水县融媒体中心新闻部副主任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房超群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7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临沂市河东区委党校高级讲师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5A3A7B36"/>
    <w:rsid w:val="5A3A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2023-05-23T09:24:00Z</dcterms:created>
  <dc:creator>Administrator</dc:creator>
  <cp:lastModifiedBy>Administrator</cp:lastModifiedBy>
  <dcterms:modified xsi:type="dcterms:W3CDTF">2023-05-23T09:24:36Z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F5FAF2F50E844AEBA3FCFC79192FA232_11</vt:lpwstr>
  </property>
</Properties>
</file>